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7071C" w14:textId="77777777" w:rsidR="000A27DE" w:rsidRDefault="000A27DE" w:rsidP="001C699B">
      <w:pPr>
        <w:spacing w:after="0" w:line="240" w:lineRule="auto"/>
        <w:jc w:val="center"/>
        <w:rPr>
          <w:b/>
          <w:sz w:val="24"/>
          <w:szCs w:val="24"/>
        </w:rPr>
      </w:pPr>
    </w:p>
    <w:p w14:paraId="17388674" w14:textId="77777777" w:rsidR="000A27DE" w:rsidRDefault="000A27DE" w:rsidP="001C699B">
      <w:pPr>
        <w:spacing w:after="0" w:line="240" w:lineRule="auto"/>
        <w:jc w:val="center"/>
        <w:rPr>
          <w:b/>
          <w:sz w:val="24"/>
          <w:szCs w:val="24"/>
        </w:rPr>
      </w:pPr>
    </w:p>
    <w:p w14:paraId="6E8ADC57" w14:textId="77777777" w:rsidR="000A27DE" w:rsidRDefault="000A27DE" w:rsidP="001C699B">
      <w:pPr>
        <w:spacing w:after="0" w:line="240" w:lineRule="auto"/>
        <w:jc w:val="center"/>
        <w:rPr>
          <w:b/>
          <w:sz w:val="24"/>
          <w:szCs w:val="24"/>
        </w:rPr>
      </w:pPr>
    </w:p>
    <w:p w14:paraId="6033EB64" w14:textId="77777777" w:rsidR="000A27DE" w:rsidRDefault="000A27DE" w:rsidP="001C699B">
      <w:pPr>
        <w:spacing w:after="0" w:line="240" w:lineRule="auto"/>
        <w:jc w:val="center"/>
        <w:rPr>
          <w:b/>
          <w:sz w:val="24"/>
          <w:szCs w:val="24"/>
        </w:rPr>
      </w:pPr>
    </w:p>
    <w:p w14:paraId="42DA49D9" w14:textId="77777777" w:rsidR="009764B6" w:rsidRDefault="009764B6" w:rsidP="001C699B">
      <w:pPr>
        <w:spacing w:after="0" w:line="240" w:lineRule="auto"/>
        <w:jc w:val="center"/>
        <w:rPr>
          <w:b/>
          <w:sz w:val="24"/>
          <w:szCs w:val="24"/>
        </w:rPr>
      </w:pPr>
    </w:p>
    <w:p w14:paraId="4B4FE099" w14:textId="77777777" w:rsidR="009764B6" w:rsidRDefault="009764B6" w:rsidP="001C699B">
      <w:pPr>
        <w:spacing w:after="0" w:line="240" w:lineRule="auto"/>
        <w:jc w:val="center"/>
        <w:rPr>
          <w:b/>
          <w:sz w:val="24"/>
          <w:szCs w:val="24"/>
        </w:rPr>
      </w:pPr>
    </w:p>
    <w:p w14:paraId="52683475" w14:textId="77777777" w:rsidR="00BE6813" w:rsidRDefault="009C09F6" w:rsidP="001C699B">
      <w:pPr>
        <w:spacing w:after="0" w:line="240" w:lineRule="auto"/>
        <w:jc w:val="center"/>
        <w:rPr>
          <w:b/>
          <w:sz w:val="24"/>
          <w:szCs w:val="24"/>
        </w:rPr>
      </w:pPr>
      <w:r w:rsidRPr="00017F15">
        <w:rPr>
          <w:b/>
          <w:sz w:val="24"/>
          <w:szCs w:val="24"/>
        </w:rPr>
        <w:t>GUÍA</w:t>
      </w:r>
      <w:r w:rsidRPr="009C09F6">
        <w:rPr>
          <w:b/>
          <w:color w:val="FF0000"/>
          <w:sz w:val="24"/>
          <w:szCs w:val="24"/>
        </w:rPr>
        <w:t xml:space="preserve"> </w:t>
      </w:r>
      <w:r w:rsidR="000A27DE" w:rsidRPr="000A27DE">
        <w:rPr>
          <w:b/>
          <w:sz w:val="24"/>
          <w:szCs w:val="24"/>
        </w:rPr>
        <w:t xml:space="preserve">PARA LA MEDICIÓN </w:t>
      </w:r>
      <w:r w:rsidR="00E1379E">
        <w:rPr>
          <w:b/>
          <w:sz w:val="24"/>
          <w:szCs w:val="24"/>
        </w:rPr>
        <w:t>EN</w:t>
      </w:r>
      <w:r w:rsidR="000A27DE" w:rsidRPr="000A27DE">
        <w:rPr>
          <w:b/>
          <w:sz w:val="24"/>
          <w:szCs w:val="24"/>
        </w:rPr>
        <w:t xml:space="preserve"> CALIDAD </w:t>
      </w:r>
      <w:r w:rsidR="00E1379E">
        <w:rPr>
          <w:b/>
          <w:sz w:val="24"/>
          <w:szCs w:val="24"/>
        </w:rPr>
        <w:t>DE</w:t>
      </w:r>
      <w:r w:rsidR="000A27DE" w:rsidRPr="000A27DE">
        <w:rPr>
          <w:b/>
          <w:sz w:val="24"/>
          <w:szCs w:val="24"/>
        </w:rPr>
        <w:t xml:space="preserve"> LAS </w:t>
      </w:r>
      <w:r w:rsidR="00E1379E">
        <w:rPr>
          <w:b/>
          <w:sz w:val="24"/>
          <w:szCs w:val="24"/>
        </w:rPr>
        <w:t xml:space="preserve">RESPUESTAS </w:t>
      </w:r>
      <w:r w:rsidR="000C47E4">
        <w:rPr>
          <w:b/>
          <w:sz w:val="24"/>
          <w:szCs w:val="24"/>
        </w:rPr>
        <w:t>A</w:t>
      </w:r>
      <w:r w:rsidR="00E1379E">
        <w:rPr>
          <w:b/>
          <w:sz w:val="24"/>
          <w:szCs w:val="24"/>
        </w:rPr>
        <w:t xml:space="preserve"> LAS PQRSD </w:t>
      </w:r>
      <w:r w:rsidR="000C47E4">
        <w:rPr>
          <w:b/>
          <w:sz w:val="24"/>
          <w:szCs w:val="24"/>
        </w:rPr>
        <w:t>QUE INGRESAN AL</w:t>
      </w:r>
      <w:r w:rsidR="00E1379E">
        <w:rPr>
          <w:b/>
          <w:sz w:val="24"/>
          <w:szCs w:val="24"/>
        </w:rPr>
        <w:t xml:space="preserve"> MINISTERIO DE AMBIENTE Y DESARROLLO SOSTENIBLE</w:t>
      </w:r>
    </w:p>
    <w:p w14:paraId="02B15568" w14:textId="77777777" w:rsidR="000A27DE" w:rsidRDefault="000A27DE" w:rsidP="001C699B">
      <w:pPr>
        <w:spacing w:after="0" w:line="240" w:lineRule="auto"/>
        <w:jc w:val="center"/>
        <w:rPr>
          <w:sz w:val="24"/>
          <w:szCs w:val="24"/>
        </w:rPr>
      </w:pPr>
    </w:p>
    <w:p w14:paraId="682635A5" w14:textId="77777777" w:rsidR="000A27DE" w:rsidRDefault="000A27DE" w:rsidP="001C699B">
      <w:pPr>
        <w:spacing w:after="0" w:line="240" w:lineRule="auto"/>
        <w:jc w:val="center"/>
        <w:rPr>
          <w:sz w:val="24"/>
          <w:szCs w:val="24"/>
        </w:rPr>
      </w:pPr>
    </w:p>
    <w:p w14:paraId="1CE4E3FF" w14:textId="77777777" w:rsidR="000A27DE" w:rsidRDefault="000A27DE" w:rsidP="001C699B">
      <w:pPr>
        <w:spacing w:after="0" w:line="240" w:lineRule="auto"/>
        <w:jc w:val="center"/>
        <w:rPr>
          <w:sz w:val="24"/>
          <w:szCs w:val="24"/>
        </w:rPr>
      </w:pPr>
    </w:p>
    <w:p w14:paraId="140B6B15" w14:textId="77777777" w:rsidR="009764B6" w:rsidRDefault="009764B6" w:rsidP="001C699B">
      <w:pPr>
        <w:spacing w:after="0" w:line="240" w:lineRule="auto"/>
        <w:jc w:val="center"/>
        <w:rPr>
          <w:sz w:val="24"/>
          <w:szCs w:val="24"/>
        </w:rPr>
      </w:pPr>
    </w:p>
    <w:p w14:paraId="1517B602" w14:textId="77777777" w:rsidR="00215DD4" w:rsidRDefault="00215DD4" w:rsidP="001C699B">
      <w:pPr>
        <w:spacing w:after="0" w:line="240" w:lineRule="auto"/>
        <w:jc w:val="center"/>
        <w:rPr>
          <w:sz w:val="24"/>
          <w:szCs w:val="24"/>
        </w:rPr>
      </w:pPr>
    </w:p>
    <w:p w14:paraId="49AE391A" w14:textId="77777777" w:rsidR="00215DD4" w:rsidRDefault="00215DD4" w:rsidP="001C699B">
      <w:pPr>
        <w:spacing w:after="0" w:line="240" w:lineRule="auto"/>
        <w:jc w:val="center"/>
        <w:rPr>
          <w:sz w:val="24"/>
          <w:szCs w:val="24"/>
        </w:rPr>
      </w:pPr>
    </w:p>
    <w:p w14:paraId="3BD17423" w14:textId="77777777" w:rsidR="009764B6" w:rsidRDefault="009764B6" w:rsidP="001C699B">
      <w:pPr>
        <w:spacing w:after="0" w:line="240" w:lineRule="auto"/>
        <w:jc w:val="center"/>
        <w:rPr>
          <w:sz w:val="24"/>
          <w:szCs w:val="24"/>
        </w:rPr>
      </w:pPr>
    </w:p>
    <w:p w14:paraId="6D612673" w14:textId="77777777" w:rsidR="009764B6" w:rsidRDefault="009764B6" w:rsidP="001C699B">
      <w:pPr>
        <w:spacing w:after="0" w:line="240" w:lineRule="auto"/>
        <w:jc w:val="center"/>
        <w:rPr>
          <w:sz w:val="24"/>
          <w:szCs w:val="24"/>
        </w:rPr>
      </w:pPr>
    </w:p>
    <w:p w14:paraId="430CEB69" w14:textId="77777777" w:rsidR="00215DD4" w:rsidRDefault="00215DD4" w:rsidP="001C699B">
      <w:pPr>
        <w:spacing w:after="0" w:line="240" w:lineRule="auto"/>
        <w:jc w:val="center"/>
        <w:rPr>
          <w:sz w:val="24"/>
          <w:szCs w:val="24"/>
        </w:rPr>
      </w:pPr>
    </w:p>
    <w:p w14:paraId="61AFE8B2" w14:textId="77777777" w:rsidR="00215DD4" w:rsidRDefault="00215DD4" w:rsidP="001C699B">
      <w:pPr>
        <w:spacing w:after="0" w:line="240" w:lineRule="auto"/>
        <w:jc w:val="center"/>
        <w:rPr>
          <w:sz w:val="24"/>
          <w:szCs w:val="24"/>
        </w:rPr>
      </w:pPr>
    </w:p>
    <w:p w14:paraId="347ECE6E" w14:textId="77777777" w:rsidR="009764B6" w:rsidRDefault="009764B6" w:rsidP="001C699B">
      <w:pPr>
        <w:spacing w:after="0" w:line="240" w:lineRule="auto"/>
        <w:jc w:val="center"/>
        <w:rPr>
          <w:sz w:val="24"/>
          <w:szCs w:val="24"/>
        </w:rPr>
      </w:pPr>
    </w:p>
    <w:p w14:paraId="7FC21CA9" w14:textId="77777777" w:rsidR="000A27DE" w:rsidRDefault="009764B6" w:rsidP="001C699B">
      <w:pPr>
        <w:spacing w:after="0" w:line="240" w:lineRule="auto"/>
        <w:jc w:val="center"/>
        <w:rPr>
          <w:b/>
          <w:sz w:val="24"/>
          <w:szCs w:val="24"/>
        </w:rPr>
      </w:pPr>
      <w:r w:rsidRPr="009764B6">
        <w:rPr>
          <w:b/>
          <w:sz w:val="24"/>
          <w:szCs w:val="24"/>
        </w:rPr>
        <w:t>Ministerio de Ambiente y Desarrollo Sostenible</w:t>
      </w:r>
    </w:p>
    <w:p w14:paraId="54D28344" w14:textId="77777777" w:rsidR="009764B6" w:rsidRDefault="009764B6" w:rsidP="001C699B">
      <w:pPr>
        <w:spacing w:after="0" w:line="240" w:lineRule="auto"/>
        <w:jc w:val="center"/>
        <w:rPr>
          <w:b/>
          <w:sz w:val="24"/>
          <w:szCs w:val="24"/>
        </w:rPr>
      </w:pPr>
    </w:p>
    <w:p w14:paraId="2B02BBEB" w14:textId="77777777" w:rsidR="009764B6" w:rsidRDefault="009764B6" w:rsidP="001C699B">
      <w:pPr>
        <w:spacing w:after="0" w:line="240" w:lineRule="auto"/>
        <w:jc w:val="center"/>
        <w:rPr>
          <w:b/>
          <w:sz w:val="24"/>
          <w:szCs w:val="24"/>
        </w:rPr>
      </w:pPr>
    </w:p>
    <w:p w14:paraId="22EFF5A6" w14:textId="77777777" w:rsidR="009764B6" w:rsidRDefault="009764B6" w:rsidP="001C699B">
      <w:pPr>
        <w:spacing w:after="0" w:line="240" w:lineRule="auto"/>
        <w:jc w:val="center"/>
        <w:rPr>
          <w:b/>
          <w:sz w:val="24"/>
          <w:szCs w:val="24"/>
        </w:rPr>
      </w:pPr>
    </w:p>
    <w:p w14:paraId="6AAF9B86" w14:textId="77777777" w:rsidR="009764B6" w:rsidRDefault="009764B6" w:rsidP="001C699B">
      <w:pPr>
        <w:spacing w:after="0" w:line="240" w:lineRule="auto"/>
        <w:jc w:val="center"/>
        <w:rPr>
          <w:b/>
          <w:sz w:val="24"/>
          <w:szCs w:val="24"/>
        </w:rPr>
      </w:pPr>
    </w:p>
    <w:p w14:paraId="6DEE42B0" w14:textId="77777777" w:rsidR="00215DD4" w:rsidRDefault="00215DD4" w:rsidP="001C699B">
      <w:pPr>
        <w:spacing w:after="0" w:line="240" w:lineRule="auto"/>
        <w:jc w:val="center"/>
        <w:rPr>
          <w:b/>
          <w:sz w:val="24"/>
          <w:szCs w:val="24"/>
        </w:rPr>
      </w:pPr>
    </w:p>
    <w:p w14:paraId="68814010" w14:textId="77777777" w:rsidR="00215DD4" w:rsidRDefault="00215DD4" w:rsidP="001C699B">
      <w:pPr>
        <w:spacing w:after="0" w:line="240" w:lineRule="auto"/>
        <w:jc w:val="center"/>
        <w:rPr>
          <w:b/>
          <w:sz w:val="24"/>
          <w:szCs w:val="24"/>
        </w:rPr>
      </w:pPr>
    </w:p>
    <w:p w14:paraId="418395D5" w14:textId="77777777" w:rsidR="00215DD4" w:rsidRDefault="00215DD4" w:rsidP="001C699B">
      <w:pPr>
        <w:spacing w:after="0" w:line="240" w:lineRule="auto"/>
        <w:jc w:val="center"/>
        <w:rPr>
          <w:b/>
          <w:sz w:val="24"/>
          <w:szCs w:val="24"/>
        </w:rPr>
      </w:pPr>
    </w:p>
    <w:p w14:paraId="7017D50F" w14:textId="77777777" w:rsidR="00215DD4" w:rsidRDefault="00215DD4" w:rsidP="001C699B">
      <w:pPr>
        <w:spacing w:after="0" w:line="240" w:lineRule="auto"/>
        <w:jc w:val="center"/>
        <w:rPr>
          <w:b/>
          <w:sz w:val="24"/>
          <w:szCs w:val="24"/>
        </w:rPr>
      </w:pPr>
    </w:p>
    <w:p w14:paraId="5D5581A1" w14:textId="77777777" w:rsidR="00215DD4" w:rsidRDefault="00215DD4" w:rsidP="001C699B">
      <w:pPr>
        <w:spacing w:after="0" w:line="240" w:lineRule="auto"/>
        <w:jc w:val="center"/>
        <w:rPr>
          <w:b/>
          <w:sz w:val="24"/>
          <w:szCs w:val="24"/>
        </w:rPr>
      </w:pPr>
    </w:p>
    <w:p w14:paraId="345AEDF5" w14:textId="77777777" w:rsidR="00215DD4" w:rsidRDefault="00215DD4" w:rsidP="001C699B">
      <w:pPr>
        <w:spacing w:after="0" w:line="240" w:lineRule="auto"/>
        <w:jc w:val="center"/>
        <w:rPr>
          <w:b/>
          <w:sz w:val="24"/>
          <w:szCs w:val="24"/>
        </w:rPr>
      </w:pPr>
    </w:p>
    <w:p w14:paraId="1F679C22" w14:textId="77777777" w:rsidR="00215DD4" w:rsidRDefault="00215DD4" w:rsidP="001C699B">
      <w:pPr>
        <w:spacing w:after="0" w:line="240" w:lineRule="auto"/>
        <w:jc w:val="center"/>
        <w:rPr>
          <w:b/>
          <w:sz w:val="24"/>
          <w:szCs w:val="24"/>
        </w:rPr>
      </w:pPr>
    </w:p>
    <w:p w14:paraId="64DD8CCE" w14:textId="77777777" w:rsidR="00215DD4" w:rsidRDefault="00215DD4" w:rsidP="001C699B">
      <w:pPr>
        <w:spacing w:after="0" w:line="240" w:lineRule="auto"/>
        <w:jc w:val="center"/>
        <w:rPr>
          <w:b/>
          <w:sz w:val="24"/>
          <w:szCs w:val="24"/>
        </w:rPr>
      </w:pPr>
    </w:p>
    <w:p w14:paraId="226FAD7A" w14:textId="77777777" w:rsidR="00215DD4" w:rsidRDefault="00215DD4" w:rsidP="001C699B">
      <w:pPr>
        <w:spacing w:after="0" w:line="240" w:lineRule="auto"/>
        <w:jc w:val="center"/>
        <w:rPr>
          <w:b/>
          <w:sz w:val="24"/>
          <w:szCs w:val="24"/>
        </w:rPr>
      </w:pPr>
    </w:p>
    <w:p w14:paraId="315EF7B7" w14:textId="77777777" w:rsidR="00215DD4" w:rsidRDefault="00215DD4" w:rsidP="001C699B">
      <w:pPr>
        <w:spacing w:after="0" w:line="240" w:lineRule="auto"/>
        <w:jc w:val="center"/>
        <w:rPr>
          <w:b/>
          <w:sz w:val="24"/>
          <w:szCs w:val="24"/>
        </w:rPr>
      </w:pPr>
    </w:p>
    <w:p w14:paraId="2351EB84" w14:textId="77777777" w:rsidR="009764B6" w:rsidRDefault="009764B6" w:rsidP="001C699B">
      <w:pPr>
        <w:spacing w:after="0" w:line="240" w:lineRule="auto"/>
        <w:jc w:val="center"/>
        <w:rPr>
          <w:b/>
          <w:sz w:val="24"/>
          <w:szCs w:val="24"/>
        </w:rPr>
      </w:pPr>
    </w:p>
    <w:p w14:paraId="18C4FE19" w14:textId="77777777" w:rsidR="009764B6" w:rsidRPr="009764B6" w:rsidRDefault="009764B6" w:rsidP="001C699B">
      <w:pPr>
        <w:spacing w:after="0" w:line="240" w:lineRule="auto"/>
        <w:jc w:val="center"/>
        <w:rPr>
          <w:b/>
          <w:sz w:val="24"/>
          <w:szCs w:val="24"/>
        </w:rPr>
      </w:pPr>
    </w:p>
    <w:p w14:paraId="5854C213" w14:textId="77777777" w:rsidR="000A27DE" w:rsidRPr="009764B6" w:rsidRDefault="000A27DE" w:rsidP="001C699B">
      <w:pPr>
        <w:spacing w:after="0" w:line="240" w:lineRule="auto"/>
        <w:jc w:val="center"/>
        <w:rPr>
          <w:b/>
          <w:sz w:val="24"/>
          <w:szCs w:val="24"/>
        </w:rPr>
      </w:pPr>
      <w:r w:rsidRPr="009764B6">
        <w:rPr>
          <w:b/>
          <w:sz w:val="24"/>
          <w:szCs w:val="24"/>
        </w:rPr>
        <w:t>Unidad Coordinadora para el Gobierno Abierto del Sector Administrativo de Ambiente y Desarrollo Sostenible</w:t>
      </w:r>
    </w:p>
    <w:p w14:paraId="46A62732" w14:textId="77777777" w:rsidR="00BE6813" w:rsidRDefault="00BE6813" w:rsidP="001C699B">
      <w:pPr>
        <w:spacing w:after="0" w:line="240" w:lineRule="auto"/>
        <w:jc w:val="center"/>
      </w:pPr>
    </w:p>
    <w:p w14:paraId="6F3A9043" w14:textId="77777777" w:rsidR="00BE6813" w:rsidRDefault="00BE6813" w:rsidP="001C699B">
      <w:pPr>
        <w:spacing w:after="0" w:line="240" w:lineRule="auto"/>
        <w:jc w:val="center"/>
      </w:pPr>
    </w:p>
    <w:p w14:paraId="34BD5825" w14:textId="77777777" w:rsidR="00BE6813" w:rsidRPr="00BE6813" w:rsidRDefault="00BE6813" w:rsidP="001C699B">
      <w:pPr>
        <w:spacing w:after="0" w:line="240" w:lineRule="auto"/>
        <w:jc w:val="center"/>
      </w:pPr>
    </w:p>
    <w:p w14:paraId="5EEB5C61" w14:textId="77777777" w:rsidR="00D93B94" w:rsidRDefault="00BE6813" w:rsidP="00D93B94">
      <w:pPr>
        <w:pStyle w:val="TtuloTDC"/>
        <w:rPr>
          <w:color w:val="385623" w:themeColor="accent6" w:themeShade="80"/>
        </w:rPr>
      </w:pPr>
      <w:r>
        <w:rPr>
          <w:color w:val="385623" w:themeColor="accent6" w:themeShade="80"/>
        </w:rPr>
        <w:br w:type="page"/>
      </w:r>
    </w:p>
    <w:sdt>
      <w:sdtPr>
        <w:rPr>
          <w:rFonts w:ascii="Arial Narrow" w:eastAsiaTheme="minorHAnsi" w:hAnsi="Arial Narrow" w:cstheme="minorBidi"/>
          <w:color w:val="auto"/>
          <w:sz w:val="22"/>
          <w:szCs w:val="22"/>
          <w:lang w:val="es-ES" w:eastAsia="en-US"/>
        </w:rPr>
        <w:id w:val="559062041"/>
        <w:docPartObj>
          <w:docPartGallery w:val="Table of Contents"/>
          <w:docPartUnique/>
        </w:docPartObj>
      </w:sdtPr>
      <w:sdtEndPr>
        <w:rPr>
          <w:b/>
          <w:bCs/>
        </w:rPr>
      </w:sdtEndPr>
      <w:sdtContent>
        <w:p w14:paraId="0643E662" w14:textId="77777777" w:rsidR="00D93B94" w:rsidRDefault="00D93B94" w:rsidP="00D93B94">
          <w:pPr>
            <w:pStyle w:val="TtuloTDC"/>
            <w:jc w:val="center"/>
            <w:rPr>
              <w:lang w:val="es-ES"/>
            </w:rPr>
          </w:pPr>
        </w:p>
        <w:p w14:paraId="75E9FBB7" w14:textId="77777777" w:rsidR="00D93B94" w:rsidRDefault="00D93B94" w:rsidP="00D93B94">
          <w:pPr>
            <w:pStyle w:val="TtuloTDC"/>
            <w:jc w:val="center"/>
            <w:rPr>
              <w:rFonts w:ascii="Arial Narrow" w:hAnsi="Arial Narrow"/>
              <w:b/>
              <w:color w:val="auto"/>
              <w:lang w:val="es-ES"/>
            </w:rPr>
          </w:pPr>
          <w:r w:rsidRPr="00D93B94">
            <w:rPr>
              <w:rFonts w:ascii="Arial Narrow" w:hAnsi="Arial Narrow"/>
              <w:b/>
              <w:color w:val="auto"/>
              <w:lang w:val="es-ES"/>
            </w:rPr>
            <w:t>TABLA DE CONTENIDO</w:t>
          </w:r>
        </w:p>
        <w:p w14:paraId="2C6A8B93" w14:textId="77777777" w:rsidR="00D93B94" w:rsidRPr="00D93B94" w:rsidRDefault="00D93B94" w:rsidP="00D93B94">
          <w:pPr>
            <w:rPr>
              <w:lang w:val="es-ES" w:eastAsia="es-CO"/>
            </w:rPr>
          </w:pPr>
        </w:p>
        <w:p w14:paraId="0E79560E" w14:textId="70AA86AC" w:rsidR="00D93B94" w:rsidRDefault="00D93B94">
          <w:pPr>
            <w:pStyle w:val="TDC1"/>
            <w:tabs>
              <w:tab w:val="left" w:pos="440"/>
              <w:tab w:val="right" w:leader="dot" w:pos="8828"/>
            </w:tabs>
            <w:rPr>
              <w:rFonts w:asciiTheme="minorHAnsi" w:eastAsiaTheme="minorEastAsia" w:hAnsiTheme="minorHAnsi"/>
              <w:noProof/>
              <w:lang w:eastAsia="es-CO"/>
            </w:rPr>
          </w:pPr>
          <w:r>
            <w:fldChar w:fldCharType="begin"/>
          </w:r>
          <w:r>
            <w:instrText xml:space="preserve"> TOC \o "1-3" \h \z \u </w:instrText>
          </w:r>
          <w:r>
            <w:fldChar w:fldCharType="separate"/>
          </w:r>
          <w:hyperlink w:anchor="_Toc513124062" w:history="1">
            <w:r w:rsidRPr="00F11BC9">
              <w:rPr>
                <w:rStyle w:val="Hipervnculo"/>
                <w:noProof/>
              </w:rPr>
              <w:t>1.</w:t>
            </w:r>
            <w:r>
              <w:rPr>
                <w:rFonts w:asciiTheme="minorHAnsi" w:eastAsiaTheme="minorEastAsia" w:hAnsiTheme="minorHAnsi"/>
                <w:noProof/>
                <w:lang w:eastAsia="es-CO"/>
              </w:rPr>
              <w:tab/>
            </w:r>
            <w:r w:rsidRPr="00F11BC9">
              <w:rPr>
                <w:rStyle w:val="Hipervnculo"/>
                <w:noProof/>
              </w:rPr>
              <w:t>INTRODUCCIÓN</w:t>
            </w:r>
            <w:r>
              <w:rPr>
                <w:noProof/>
                <w:webHidden/>
              </w:rPr>
              <w:tab/>
            </w:r>
            <w:r>
              <w:rPr>
                <w:noProof/>
                <w:webHidden/>
              </w:rPr>
              <w:fldChar w:fldCharType="begin"/>
            </w:r>
            <w:r>
              <w:rPr>
                <w:noProof/>
                <w:webHidden/>
              </w:rPr>
              <w:instrText xml:space="preserve"> PAGEREF _Toc513124062 \h </w:instrText>
            </w:r>
            <w:r>
              <w:rPr>
                <w:noProof/>
                <w:webHidden/>
              </w:rPr>
            </w:r>
            <w:r>
              <w:rPr>
                <w:noProof/>
                <w:webHidden/>
              </w:rPr>
              <w:fldChar w:fldCharType="separate"/>
            </w:r>
            <w:r w:rsidR="00815F58">
              <w:rPr>
                <w:noProof/>
                <w:webHidden/>
              </w:rPr>
              <w:t>3</w:t>
            </w:r>
            <w:r>
              <w:rPr>
                <w:noProof/>
                <w:webHidden/>
              </w:rPr>
              <w:fldChar w:fldCharType="end"/>
            </w:r>
          </w:hyperlink>
        </w:p>
        <w:p w14:paraId="5FE70DC8" w14:textId="2260F65E" w:rsidR="00D93B94" w:rsidRDefault="00815F58">
          <w:pPr>
            <w:pStyle w:val="TDC1"/>
            <w:tabs>
              <w:tab w:val="left" w:pos="440"/>
              <w:tab w:val="right" w:leader="dot" w:pos="8828"/>
            </w:tabs>
            <w:rPr>
              <w:rFonts w:asciiTheme="minorHAnsi" w:eastAsiaTheme="minorEastAsia" w:hAnsiTheme="minorHAnsi"/>
              <w:noProof/>
              <w:lang w:eastAsia="es-CO"/>
            </w:rPr>
          </w:pPr>
          <w:hyperlink w:anchor="_Toc513124063" w:history="1">
            <w:r w:rsidR="00D93B94" w:rsidRPr="00F11BC9">
              <w:rPr>
                <w:rStyle w:val="Hipervnculo"/>
                <w:noProof/>
              </w:rPr>
              <w:t>2.</w:t>
            </w:r>
            <w:r w:rsidR="00D93B94">
              <w:rPr>
                <w:rFonts w:asciiTheme="minorHAnsi" w:eastAsiaTheme="minorEastAsia" w:hAnsiTheme="minorHAnsi"/>
                <w:noProof/>
                <w:lang w:eastAsia="es-CO"/>
              </w:rPr>
              <w:tab/>
            </w:r>
            <w:r w:rsidR="00D93B94" w:rsidRPr="00F11BC9">
              <w:rPr>
                <w:rStyle w:val="Hipervnculo"/>
                <w:noProof/>
              </w:rPr>
              <w:t>OBJETIVO Y ALCANCE</w:t>
            </w:r>
            <w:r w:rsidR="00D93B94">
              <w:rPr>
                <w:noProof/>
                <w:webHidden/>
              </w:rPr>
              <w:tab/>
            </w:r>
            <w:r w:rsidR="00D93B94">
              <w:rPr>
                <w:noProof/>
                <w:webHidden/>
              </w:rPr>
              <w:fldChar w:fldCharType="begin"/>
            </w:r>
            <w:r w:rsidR="00D93B94">
              <w:rPr>
                <w:noProof/>
                <w:webHidden/>
              </w:rPr>
              <w:instrText xml:space="preserve"> PAGEREF _Toc513124063 \h </w:instrText>
            </w:r>
            <w:r w:rsidR="00D93B94">
              <w:rPr>
                <w:noProof/>
                <w:webHidden/>
              </w:rPr>
            </w:r>
            <w:r w:rsidR="00D93B94">
              <w:rPr>
                <w:noProof/>
                <w:webHidden/>
              </w:rPr>
              <w:fldChar w:fldCharType="separate"/>
            </w:r>
            <w:r>
              <w:rPr>
                <w:noProof/>
                <w:webHidden/>
              </w:rPr>
              <w:t>3</w:t>
            </w:r>
            <w:r w:rsidR="00D93B94">
              <w:rPr>
                <w:noProof/>
                <w:webHidden/>
              </w:rPr>
              <w:fldChar w:fldCharType="end"/>
            </w:r>
          </w:hyperlink>
        </w:p>
        <w:p w14:paraId="3E08A26C" w14:textId="0B835627" w:rsidR="00D93B94" w:rsidRDefault="00815F58">
          <w:pPr>
            <w:pStyle w:val="TDC1"/>
            <w:tabs>
              <w:tab w:val="left" w:pos="440"/>
              <w:tab w:val="right" w:leader="dot" w:pos="8828"/>
            </w:tabs>
            <w:rPr>
              <w:rFonts w:asciiTheme="minorHAnsi" w:eastAsiaTheme="minorEastAsia" w:hAnsiTheme="minorHAnsi"/>
              <w:noProof/>
              <w:lang w:eastAsia="es-CO"/>
            </w:rPr>
          </w:pPr>
          <w:hyperlink w:anchor="_Toc513124064" w:history="1">
            <w:r w:rsidR="00D93B94" w:rsidRPr="00F11BC9">
              <w:rPr>
                <w:rStyle w:val="Hipervnculo"/>
                <w:noProof/>
              </w:rPr>
              <w:t>3.</w:t>
            </w:r>
            <w:r w:rsidR="00D93B94">
              <w:rPr>
                <w:rFonts w:asciiTheme="minorHAnsi" w:eastAsiaTheme="minorEastAsia" w:hAnsiTheme="minorHAnsi"/>
                <w:noProof/>
                <w:lang w:eastAsia="es-CO"/>
              </w:rPr>
              <w:tab/>
            </w:r>
            <w:r w:rsidR="00D93B94" w:rsidRPr="00F11BC9">
              <w:rPr>
                <w:rStyle w:val="Hipervnculo"/>
                <w:noProof/>
              </w:rPr>
              <w:t>DEFINICIÓN DE CRITERIOS</w:t>
            </w:r>
            <w:r w:rsidR="00D93B94">
              <w:rPr>
                <w:noProof/>
                <w:webHidden/>
              </w:rPr>
              <w:tab/>
            </w:r>
            <w:r w:rsidR="00D93B94">
              <w:rPr>
                <w:noProof/>
                <w:webHidden/>
              </w:rPr>
              <w:fldChar w:fldCharType="begin"/>
            </w:r>
            <w:r w:rsidR="00D93B94">
              <w:rPr>
                <w:noProof/>
                <w:webHidden/>
              </w:rPr>
              <w:instrText xml:space="preserve"> PAGEREF _Toc513124064 \h </w:instrText>
            </w:r>
            <w:r w:rsidR="00D93B94">
              <w:rPr>
                <w:noProof/>
                <w:webHidden/>
              </w:rPr>
            </w:r>
            <w:r w:rsidR="00D93B94">
              <w:rPr>
                <w:noProof/>
                <w:webHidden/>
              </w:rPr>
              <w:fldChar w:fldCharType="separate"/>
            </w:r>
            <w:r>
              <w:rPr>
                <w:noProof/>
                <w:webHidden/>
              </w:rPr>
              <w:t>3</w:t>
            </w:r>
            <w:r w:rsidR="00D93B94">
              <w:rPr>
                <w:noProof/>
                <w:webHidden/>
              </w:rPr>
              <w:fldChar w:fldCharType="end"/>
            </w:r>
          </w:hyperlink>
        </w:p>
        <w:p w14:paraId="6C4BF13C" w14:textId="5EBB729C" w:rsidR="00D93B94" w:rsidRDefault="00815F58">
          <w:pPr>
            <w:pStyle w:val="TDC1"/>
            <w:tabs>
              <w:tab w:val="left" w:pos="440"/>
              <w:tab w:val="right" w:leader="dot" w:pos="8828"/>
            </w:tabs>
            <w:rPr>
              <w:rFonts w:asciiTheme="minorHAnsi" w:eastAsiaTheme="minorEastAsia" w:hAnsiTheme="minorHAnsi"/>
              <w:noProof/>
              <w:lang w:eastAsia="es-CO"/>
            </w:rPr>
          </w:pPr>
          <w:hyperlink w:anchor="_Toc513124065" w:history="1">
            <w:r w:rsidR="00D93B94" w:rsidRPr="00F11BC9">
              <w:rPr>
                <w:rStyle w:val="Hipervnculo"/>
                <w:noProof/>
              </w:rPr>
              <w:t>4.</w:t>
            </w:r>
            <w:r w:rsidR="00D93B94">
              <w:rPr>
                <w:rFonts w:asciiTheme="minorHAnsi" w:eastAsiaTheme="minorEastAsia" w:hAnsiTheme="minorHAnsi"/>
                <w:noProof/>
                <w:lang w:eastAsia="es-CO"/>
              </w:rPr>
              <w:tab/>
            </w:r>
            <w:r w:rsidR="00D93B94" w:rsidRPr="00F11BC9">
              <w:rPr>
                <w:rStyle w:val="Hipervnculo"/>
                <w:noProof/>
              </w:rPr>
              <w:t>MEDICIÓN DE LA CALIDAD EN LA RESPUESTA A LAS PQRSD</w:t>
            </w:r>
            <w:r w:rsidR="00D93B94">
              <w:rPr>
                <w:noProof/>
                <w:webHidden/>
              </w:rPr>
              <w:tab/>
            </w:r>
            <w:r w:rsidR="00D93B94">
              <w:rPr>
                <w:noProof/>
                <w:webHidden/>
              </w:rPr>
              <w:fldChar w:fldCharType="begin"/>
            </w:r>
            <w:r w:rsidR="00D93B94">
              <w:rPr>
                <w:noProof/>
                <w:webHidden/>
              </w:rPr>
              <w:instrText xml:space="preserve"> PAGEREF _Toc513124065 \h </w:instrText>
            </w:r>
            <w:r w:rsidR="00D93B94">
              <w:rPr>
                <w:noProof/>
                <w:webHidden/>
              </w:rPr>
            </w:r>
            <w:r w:rsidR="00D93B94">
              <w:rPr>
                <w:noProof/>
                <w:webHidden/>
              </w:rPr>
              <w:fldChar w:fldCharType="separate"/>
            </w:r>
            <w:r>
              <w:rPr>
                <w:noProof/>
                <w:webHidden/>
              </w:rPr>
              <w:t>4</w:t>
            </w:r>
            <w:r w:rsidR="00D93B94">
              <w:rPr>
                <w:noProof/>
                <w:webHidden/>
              </w:rPr>
              <w:fldChar w:fldCharType="end"/>
            </w:r>
          </w:hyperlink>
        </w:p>
        <w:p w14:paraId="38726922" w14:textId="2A9DC2DE" w:rsidR="00D93B94" w:rsidRDefault="00815F58">
          <w:pPr>
            <w:pStyle w:val="TDC1"/>
            <w:tabs>
              <w:tab w:val="left" w:pos="440"/>
              <w:tab w:val="right" w:leader="dot" w:pos="8828"/>
            </w:tabs>
            <w:rPr>
              <w:rFonts w:asciiTheme="minorHAnsi" w:eastAsiaTheme="minorEastAsia" w:hAnsiTheme="minorHAnsi"/>
              <w:noProof/>
              <w:lang w:eastAsia="es-CO"/>
            </w:rPr>
          </w:pPr>
          <w:hyperlink w:anchor="_Toc513124066" w:history="1">
            <w:r w:rsidR="00D93B94" w:rsidRPr="00F11BC9">
              <w:rPr>
                <w:rStyle w:val="Hipervnculo"/>
                <w:noProof/>
              </w:rPr>
              <w:t>5.</w:t>
            </w:r>
            <w:r w:rsidR="00D93B94">
              <w:rPr>
                <w:rFonts w:asciiTheme="minorHAnsi" w:eastAsiaTheme="minorEastAsia" w:hAnsiTheme="minorHAnsi"/>
                <w:noProof/>
                <w:lang w:eastAsia="es-CO"/>
              </w:rPr>
              <w:tab/>
            </w:r>
            <w:r w:rsidR="00D93B94" w:rsidRPr="00F11BC9">
              <w:rPr>
                <w:rStyle w:val="Hipervnculo"/>
                <w:noProof/>
              </w:rPr>
              <w:t>DEPENDENCIAS OBJETO DE MEDICIÓN DE LA CALIDAD A LAS RESPUESTAS EMITIDAS</w:t>
            </w:r>
            <w:r w:rsidR="00D93B94">
              <w:rPr>
                <w:noProof/>
                <w:webHidden/>
              </w:rPr>
              <w:tab/>
            </w:r>
            <w:r w:rsidR="00D93B94">
              <w:rPr>
                <w:noProof/>
                <w:webHidden/>
              </w:rPr>
              <w:fldChar w:fldCharType="begin"/>
            </w:r>
            <w:r w:rsidR="00D93B94">
              <w:rPr>
                <w:noProof/>
                <w:webHidden/>
              </w:rPr>
              <w:instrText xml:space="preserve"> PAGEREF _Toc513124066 \h </w:instrText>
            </w:r>
            <w:r w:rsidR="00D93B94">
              <w:rPr>
                <w:noProof/>
                <w:webHidden/>
              </w:rPr>
            </w:r>
            <w:r w:rsidR="00D93B94">
              <w:rPr>
                <w:noProof/>
                <w:webHidden/>
              </w:rPr>
              <w:fldChar w:fldCharType="separate"/>
            </w:r>
            <w:r>
              <w:rPr>
                <w:noProof/>
                <w:webHidden/>
              </w:rPr>
              <w:t>5</w:t>
            </w:r>
            <w:r w:rsidR="00D93B94">
              <w:rPr>
                <w:noProof/>
                <w:webHidden/>
              </w:rPr>
              <w:fldChar w:fldCharType="end"/>
            </w:r>
          </w:hyperlink>
        </w:p>
        <w:p w14:paraId="18380B34" w14:textId="7B9A710D" w:rsidR="00D93B94" w:rsidRDefault="00815F58">
          <w:pPr>
            <w:pStyle w:val="TDC1"/>
            <w:tabs>
              <w:tab w:val="left" w:pos="440"/>
              <w:tab w:val="right" w:leader="dot" w:pos="8828"/>
            </w:tabs>
            <w:rPr>
              <w:rFonts w:asciiTheme="minorHAnsi" w:eastAsiaTheme="minorEastAsia" w:hAnsiTheme="minorHAnsi"/>
              <w:noProof/>
              <w:lang w:eastAsia="es-CO"/>
            </w:rPr>
          </w:pPr>
          <w:hyperlink w:anchor="_Toc513124067" w:history="1">
            <w:r w:rsidR="00D93B94" w:rsidRPr="00F11BC9">
              <w:rPr>
                <w:rStyle w:val="Hipervnculo"/>
                <w:noProof/>
              </w:rPr>
              <w:t>6.</w:t>
            </w:r>
            <w:r w:rsidR="00D93B94">
              <w:rPr>
                <w:rFonts w:asciiTheme="minorHAnsi" w:eastAsiaTheme="minorEastAsia" w:hAnsiTheme="minorHAnsi"/>
                <w:noProof/>
                <w:lang w:eastAsia="es-CO"/>
              </w:rPr>
              <w:tab/>
            </w:r>
            <w:r w:rsidR="00D93B94" w:rsidRPr="00F11BC9">
              <w:rPr>
                <w:rStyle w:val="Hipervnculo"/>
                <w:noProof/>
              </w:rPr>
              <w:t>DETERMINACIÓN DE LOS EXPEDIENTES A EVALUAR</w:t>
            </w:r>
            <w:r w:rsidR="00D93B94">
              <w:rPr>
                <w:noProof/>
                <w:webHidden/>
              </w:rPr>
              <w:tab/>
            </w:r>
            <w:r w:rsidR="00D93B94">
              <w:rPr>
                <w:noProof/>
                <w:webHidden/>
              </w:rPr>
              <w:fldChar w:fldCharType="begin"/>
            </w:r>
            <w:r w:rsidR="00D93B94">
              <w:rPr>
                <w:noProof/>
                <w:webHidden/>
              </w:rPr>
              <w:instrText xml:space="preserve"> PAGEREF _Toc513124067 \h </w:instrText>
            </w:r>
            <w:r w:rsidR="00D93B94">
              <w:rPr>
                <w:noProof/>
                <w:webHidden/>
              </w:rPr>
            </w:r>
            <w:r w:rsidR="00D93B94">
              <w:rPr>
                <w:noProof/>
                <w:webHidden/>
              </w:rPr>
              <w:fldChar w:fldCharType="separate"/>
            </w:r>
            <w:r>
              <w:rPr>
                <w:noProof/>
                <w:webHidden/>
              </w:rPr>
              <w:t>6</w:t>
            </w:r>
            <w:r w:rsidR="00D93B94">
              <w:rPr>
                <w:noProof/>
                <w:webHidden/>
              </w:rPr>
              <w:fldChar w:fldCharType="end"/>
            </w:r>
          </w:hyperlink>
        </w:p>
        <w:p w14:paraId="3912992A" w14:textId="056B64B8" w:rsidR="00D93B94" w:rsidRDefault="00815F58">
          <w:pPr>
            <w:pStyle w:val="TDC1"/>
            <w:tabs>
              <w:tab w:val="left" w:pos="440"/>
              <w:tab w:val="right" w:leader="dot" w:pos="8828"/>
            </w:tabs>
            <w:rPr>
              <w:rFonts w:asciiTheme="minorHAnsi" w:eastAsiaTheme="minorEastAsia" w:hAnsiTheme="minorHAnsi"/>
              <w:noProof/>
              <w:lang w:eastAsia="es-CO"/>
            </w:rPr>
          </w:pPr>
          <w:hyperlink w:anchor="_Toc513124068" w:history="1">
            <w:r w:rsidR="00D93B94" w:rsidRPr="00F11BC9">
              <w:rPr>
                <w:rStyle w:val="Hipervnculo"/>
                <w:noProof/>
              </w:rPr>
              <w:t>7.</w:t>
            </w:r>
            <w:r w:rsidR="00D93B94">
              <w:rPr>
                <w:rFonts w:asciiTheme="minorHAnsi" w:eastAsiaTheme="minorEastAsia" w:hAnsiTheme="minorHAnsi"/>
                <w:noProof/>
                <w:lang w:eastAsia="es-CO"/>
              </w:rPr>
              <w:tab/>
            </w:r>
            <w:r w:rsidR="00D93B94" w:rsidRPr="00F11BC9">
              <w:rPr>
                <w:rStyle w:val="Hipervnculo"/>
                <w:noProof/>
              </w:rPr>
              <w:t>FRECUENCIA DE LA MEDICIÓN</w:t>
            </w:r>
            <w:r w:rsidR="00D93B94">
              <w:rPr>
                <w:noProof/>
                <w:webHidden/>
              </w:rPr>
              <w:tab/>
            </w:r>
            <w:r w:rsidR="00D93B94">
              <w:rPr>
                <w:noProof/>
                <w:webHidden/>
              </w:rPr>
              <w:fldChar w:fldCharType="begin"/>
            </w:r>
            <w:r w:rsidR="00D93B94">
              <w:rPr>
                <w:noProof/>
                <w:webHidden/>
              </w:rPr>
              <w:instrText xml:space="preserve"> PAGEREF _Toc513124068 \h </w:instrText>
            </w:r>
            <w:r w:rsidR="00D93B94">
              <w:rPr>
                <w:noProof/>
                <w:webHidden/>
              </w:rPr>
            </w:r>
            <w:r w:rsidR="00D93B94">
              <w:rPr>
                <w:noProof/>
                <w:webHidden/>
              </w:rPr>
              <w:fldChar w:fldCharType="separate"/>
            </w:r>
            <w:r>
              <w:rPr>
                <w:noProof/>
                <w:webHidden/>
              </w:rPr>
              <w:t>7</w:t>
            </w:r>
            <w:r w:rsidR="00D93B94">
              <w:rPr>
                <w:noProof/>
                <w:webHidden/>
              </w:rPr>
              <w:fldChar w:fldCharType="end"/>
            </w:r>
          </w:hyperlink>
        </w:p>
        <w:p w14:paraId="198AC0D8" w14:textId="19440D77" w:rsidR="00D93B94" w:rsidRDefault="00815F58">
          <w:pPr>
            <w:pStyle w:val="TDC1"/>
            <w:tabs>
              <w:tab w:val="left" w:pos="440"/>
              <w:tab w:val="right" w:leader="dot" w:pos="8828"/>
            </w:tabs>
            <w:rPr>
              <w:rFonts w:asciiTheme="minorHAnsi" w:eastAsiaTheme="minorEastAsia" w:hAnsiTheme="minorHAnsi"/>
              <w:noProof/>
              <w:lang w:eastAsia="es-CO"/>
            </w:rPr>
          </w:pPr>
          <w:hyperlink w:anchor="_Toc513124069" w:history="1">
            <w:r w:rsidR="00D93B94" w:rsidRPr="00F11BC9">
              <w:rPr>
                <w:rStyle w:val="Hipervnculo"/>
                <w:noProof/>
              </w:rPr>
              <w:t>8.</w:t>
            </w:r>
            <w:r w:rsidR="00D93B94">
              <w:rPr>
                <w:rFonts w:asciiTheme="minorHAnsi" w:eastAsiaTheme="minorEastAsia" w:hAnsiTheme="minorHAnsi"/>
                <w:noProof/>
                <w:lang w:eastAsia="es-CO"/>
              </w:rPr>
              <w:tab/>
            </w:r>
            <w:r w:rsidR="00D93B94" w:rsidRPr="00F11BC9">
              <w:rPr>
                <w:rStyle w:val="Hipervnculo"/>
                <w:noProof/>
              </w:rPr>
              <w:t>PRESENTACIÓN DE RESULTADOS</w:t>
            </w:r>
            <w:r w:rsidR="00D93B94">
              <w:rPr>
                <w:noProof/>
                <w:webHidden/>
              </w:rPr>
              <w:tab/>
            </w:r>
            <w:r w:rsidR="00D93B94">
              <w:rPr>
                <w:noProof/>
                <w:webHidden/>
              </w:rPr>
              <w:fldChar w:fldCharType="begin"/>
            </w:r>
            <w:r w:rsidR="00D93B94">
              <w:rPr>
                <w:noProof/>
                <w:webHidden/>
              </w:rPr>
              <w:instrText xml:space="preserve"> PAGEREF _Toc513124069 \h </w:instrText>
            </w:r>
            <w:r w:rsidR="00D93B94">
              <w:rPr>
                <w:noProof/>
                <w:webHidden/>
              </w:rPr>
            </w:r>
            <w:r w:rsidR="00D93B94">
              <w:rPr>
                <w:noProof/>
                <w:webHidden/>
              </w:rPr>
              <w:fldChar w:fldCharType="separate"/>
            </w:r>
            <w:r>
              <w:rPr>
                <w:noProof/>
                <w:webHidden/>
              </w:rPr>
              <w:t>7</w:t>
            </w:r>
            <w:r w:rsidR="00D93B94">
              <w:rPr>
                <w:noProof/>
                <w:webHidden/>
              </w:rPr>
              <w:fldChar w:fldCharType="end"/>
            </w:r>
          </w:hyperlink>
        </w:p>
        <w:p w14:paraId="7B14D71C" w14:textId="77777777" w:rsidR="00D93B94" w:rsidRDefault="00D93B94">
          <w:r>
            <w:rPr>
              <w:b/>
              <w:bCs/>
              <w:lang w:val="es-ES"/>
            </w:rPr>
            <w:fldChar w:fldCharType="end"/>
          </w:r>
        </w:p>
      </w:sdtContent>
    </w:sdt>
    <w:p w14:paraId="698D59A9" w14:textId="77777777" w:rsidR="00D93B94" w:rsidRDefault="00D93B94">
      <w:pPr>
        <w:jc w:val="left"/>
        <w:rPr>
          <w:rFonts w:eastAsiaTheme="majorEastAsia" w:cstheme="majorBidi"/>
          <w:b/>
          <w:color w:val="385623" w:themeColor="accent6" w:themeShade="80"/>
          <w:sz w:val="24"/>
          <w:szCs w:val="32"/>
        </w:rPr>
      </w:pPr>
    </w:p>
    <w:p w14:paraId="6EB59869" w14:textId="77777777" w:rsidR="00D93B94" w:rsidRDefault="00D93B94">
      <w:pPr>
        <w:jc w:val="left"/>
        <w:rPr>
          <w:rFonts w:eastAsiaTheme="majorEastAsia" w:cstheme="majorBidi"/>
          <w:b/>
          <w:sz w:val="24"/>
          <w:szCs w:val="32"/>
        </w:rPr>
      </w:pPr>
      <w:r>
        <w:br w:type="page"/>
      </w:r>
    </w:p>
    <w:p w14:paraId="47A4E330" w14:textId="77777777" w:rsidR="00BE6813" w:rsidRDefault="00F75B41" w:rsidP="001C699B">
      <w:pPr>
        <w:pStyle w:val="Ttulo1"/>
        <w:numPr>
          <w:ilvl w:val="0"/>
          <w:numId w:val="1"/>
        </w:numPr>
        <w:spacing w:before="0" w:line="240" w:lineRule="auto"/>
        <w:ind w:left="0"/>
        <w:jc w:val="left"/>
      </w:pPr>
      <w:bookmarkStart w:id="0" w:name="_Toc513124062"/>
      <w:r w:rsidRPr="00BE6813">
        <w:lastRenderedPageBreak/>
        <w:t>INTRODUCCIÓN</w:t>
      </w:r>
      <w:bookmarkEnd w:id="0"/>
    </w:p>
    <w:p w14:paraId="1BAC89C6" w14:textId="77777777" w:rsidR="00A56DAE" w:rsidRDefault="00A56DAE" w:rsidP="001C699B">
      <w:pPr>
        <w:spacing w:after="0" w:line="240" w:lineRule="auto"/>
      </w:pPr>
    </w:p>
    <w:p w14:paraId="452E2288" w14:textId="77777777" w:rsidR="00AB2936" w:rsidRDefault="000A27DE" w:rsidP="001C699B">
      <w:pPr>
        <w:spacing w:after="0" w:line="240" w:lineRule="auto"/>
      </w:pPr>
      <w:r>
        <w:t xml:space="preserve">El Ministerio de Ambiente y Desarrollo Sostenible </w:t>
      </w:r>
      <w:r w:rsidR="00720593" w:rsidRPr="00674E41">
        <w:t xml:space="preserve">fundado </w:t>
      </w:r>
      <w:r w:rsidR="006431CB" w:rsidRPr="00674E41">
        <w:t>en los pilares de transparenci</w:t>
      </w:r>
      <w:r w:rsidR="006431CB">
        <w:t xml:space="preserve">a y acceso a la información, </w:t>
      </w:r>
      <w:r w:rsidR="006431CB" w:rsidRPr="00674E41">
        <w:t>re</w:t>
      </w:r>
      <w:r w:rsidR="006431CB">
        <w:t xml:space="preserve">ndición de cuentas públicas, </w:t>
      </w:r>
      <w:r w:rsidR="006431CB" w:rsidRPr="00674E41">
        <w:t xml:space="preserve">participación ciudadana y colaboración para </w:t>
      </w:r>
      <w:r w:rsidR="006431CB">
        <w:t xml:space="preserve">el mejoramiento continuo, </w:t>
      </w:r>
      <w:r w:rsidR="006431CB" w:rsidRPr="00674E41">
        <w:t xml:space="preserve">supone una transición institucional </w:t>
      </w:r>
      <w:r w:rsidR="002A1E47">
        <w:t>con</w:t>
      </w:r>
      <w:r w:rsidR="006431CB" w:rsidRPr="00674E41">
        <w:t xml:space="preserve"> </w:t>
      </w:r>
      <w:r w:rsidR="002A1E47">
        <w:t>el objetivo</w:t>
      </w:r>
      <w:r w:rsidR="006431CB" w:rsidRPr="00674E41">
        <w:t xml:space="preserve"> de </w:t>
      </w:r>
      <w:r w:rsidR="006431CB">
        <w:t>fortalecer el modelo de Gobierno Abierto, fundamentado</w:t>
      </w:r>
      <w:r w:rsidR="006431CB" w:rsidRPr="00674E41">
        <w:t xml:space="preserve"> en la recuperación de la confianza y legitimidad de la </w:t>
      </w:r>
      <w:r w:rsidR="006431CB">
        <w:t>participación</w:t>
      </w:r>
      <w:r w:rsidR="006431CB" w:rsidRPr="00674E41">
        <w:t xml:space="preserve"> </w:t>
      </w:r>
      <w:r w:rsidR="006431CB">
        <w:t xml:space="preserve">ciudadana, </w:t>
      </w:r>
      <w:r w:rsidR="006431CB" w:rsidRPr="00674E41">
        <w:t>buscando contar con la ciudadanía como centro y protagonista de su propio desarrollo</w:t>
      </w:r>
      <w:r w:rsidR="00AB2936">
        <w:t>.</w:t>
      </w:r>
      <w:r w:rsidR="009C2284">
        <w:t xml:space="preserve"> </w:t>
      </w:r>
    </w:p>
    <w:p w14:paraId="15EF9EB0" w14:textId="77777777" w:rsidR="001C699B" w:rsidRDefault="001C699B" w:rsidP="001C699B">
      <w:pPr>
        <w:spacing w:after="0" w:line="240" w:lineRule="auto"/>
      </w:pPr>
    </w:p>
    <w:p w14:paraId="24A79344" w14:textId="77777777" w:rsidR="009C2284" w:rsidRDefault="00AB2936" w:rsidP="001C699B">
      <w:pPr>
        <w:spacing w:after="0" w:line="240" w:lineRule="auto"/>
      </w:pPr>
      <w:r>
        <w:t>De tal forma que</w:t>
      </w:r>
      <w:r w:rsidR="00A6136B">
        <w:t>,</w:t>
      </w:r>
      <w:r>
        <w:t xml:space="preserve"> por intermedio del presente documento, se </w:t>
      </w:r>
      <w:r w:rsidR="00124C0C">
        <w:t xml:space="preserve">establece </w:t>
      </w:r>
      <w:r w:rsidR="00EA007E">
        <w:t xml:space="preserve">el mecanismo </w:t>
      </w:r>
      <w:r w:rsidR="006431CB">
        <w:t>mediante el cual se permite</w:t>
      </w:r>
      <w:r w:rsidR="00124C0C">
        <w:t xml:space="preserve"> </w:t>
      </w:r>
      <w:r w:rsidR="006431CB">
        <w:t>realizar el seguimiento</w:t>
      </w:r>
      <w:r w:rsidR="00A6136B">
        <w:t>,</w:t>
      </w:r>
      <w:r w:rsidR="006431CB">
        <w:t xml:space="preserve"> </w:t>
      </w:r>
      <w:r w:rsidR="002A1E47">
        <w:t>así como la</w:t>
      </w:r>
      <w:r w:rsidR="006431CB">
        <w:t xml:space="preserve"> </w:t>
      </w:r>
      <w:r w:rsidR="002A1E47">
        <w:t>evaluación de</w:t>
      </w:r>
      <w:r w:rsidR="00124C0C">
        <w:t xml:space="preserve"> </w:t>
      </w:r>
      <w:r w:rsidR="006431CB">
        <w:t>la</w:t>
      </w:r>
      <w:r w:rsidR="004C6DE8">
        <w:t xml:space="preserve"> </w:t>
      </w:r>
      <w:r w:rsidR="006431CB">
        <w:t>efectividad</w:t>
      </w:r>
      <w:r w:rsidR="0088621E">
        <w:t xml:space="preserve"> y </w:t>
      </w:r>
      <w:r w:rsidR="006431CB">
        <w:t>la</w:t>
      </w:r>
      <w:r w:rsidR="0088621E">
        <w:t xml:space="preserve"> calidad </w:t>
      </w:r>
      <w:r w:rsidR="00124C0C">
        <w:t xml:space="preserve">de las </w:t>
      </w:r>
      <w:r w:rsidR="006431CB">
        <w:t xml:space="preserve">respuestas a las </w:t>
      </w:r>
      <w:r w:rsidR="00124C0C">
        <w:t>PQRSD</w:t>
      </w:r>
      <w:r w:rsidR="006431CB">
        <w:t xml:space="preserve"> que ingresan al Ministerio</w:t>
      </w:r>
      <w:r w:rsidR="00124C0C">
        <w:t>, con el fin de</w:t>
      </w:r>
      <w:r w:rsidR="004C6DE8">
        <w:t xml:space="preserve"> </w:t>
      </w:r>
      <w:r w:rsidR="0088621E">
        <w:t>incentivar</w:t>
      </w:r>
      <w:r w:rsidR="00124C0C">
        <w:t xml:space="preserve"> la participación, </w:t>
      </w:r>
      <w:r w:rsidR="0088621E">
        <w:t>el control social</w:t>
      </w:r>
      <w:r w:rsidR="00124C0C">
        <w:t xml:space="preserve"> y la</w:t>
      </w:r>
      <w:r w:rsidR="009C2284">
        <w:t xml:space="preserve"> garantía plena </w:t>
      </w:r>
      <w:r w:rsidR="004C6DE8" w:rsidRPr="004C6DE8">
        <w:t xml:space="preserve">del derecho de petición </w:t>
      </w:r>
      <w:r w:rsidR="009C2284">
        <w:t>(Artículo 23 de la Constitución Política de 1991)</w:t>
      </w:r>
      <w:r>
        <w:t>,</w:t>
      </w:r>
      <w:r w:rsidR="009C2284">
        <w:t xml:space="preserve"> </w:t>
      </w:r>
      <w:r w:rsidR="004C6DE8" w:rsidRPr="004C6DE8">
        <w:t xml:space="preserve">como </w:t>
      </w:r>
      <w:r w:rsidR="0088621E">
        <w:t>uno de los</w:t>
      </w:r>
      <w:r w:rsidR="004C6DE8" w:rsidRPr="004C6DE8">
        <w:t xml:space="preserve"> principal</w:t>
      </w:r>
      <w:r w:rsidR="0088621E">
        <w:t>es</w:t>
      </w:r>
      <w:r w:rsidR="004C6DE8" w:rsidRPr="004C6DE8">
        <w:t xml:space="preserve"> medio</w:t>
      </w:r>
      <w:r w:rsidR="0088621E">
        <w:t>s</w:t>
      </w:r>
      <w:r w:rsidR="004C6DE8" w:rsidRPr="004C6DE8">
        <w:t xml:space="preserve"> de comunicación </w:t>
      </w:r>
      <w:r w:rsidR="009C2284">
        <w:t>y construcción entre las personas y el Estado</w:t>
      </w:r>
      <w:r w:rsidR="00E1379E">
        <w:t>.</w:t>
      </w:r>
    </w:p>
    <w:p w14:paraId="4BC95C90" w14:textId="77777777" w:rsidR="001C699B" w:rsidRDefault="001C699B" w:rsidP="001C699B">
      <w:pPr>
        <w:spacing w:after="0" w:line="240" w:lineRule="auto"/>
      </w:pPr>
    </w:p>
    <w:p w14:paraId="06F0D762" w14:textId="77777777" w:rsidR="00996C26" w:rsidRDefault="00996C26" w:rsidP="001C699B">
      <w:pPr>
        <w:spacing w:after="0" w:line="240" w:lineRule="auto"/>
      </w:pPr>
      <w:r>
        <w:t xml:space="preserve">La medición de la calidad de la respuesta a </w:t>
      </w:r>
      <w:r w:rsidR="00CB32A5">
        <w:t>las PQRSD</w:t>
      </w:r>
      <w:r w:rsidR="005F03BA">
        <w:t xml:space="preserve"> </w:t>
      </w:r>
      <w:r w:rsidR="00A56DAE">
        <w:t>permite</w:t>
      </w:r>
      <w:r w:rsidR="00AC79CB">
        <w:t xml:space="preserve"> </w:t>
      </w:r>
      <w:r w:rsidR="00131738">
        <w:t xml:space="preserve">identificar </w:t>
      </w:r>
      <w:r w:rsidR="00A56DAE">
        <w:t>las acciones de mejora</w:t>
      </w:r>
      <w:r w:rsidR="00131738">
        <w:t xml:space="preserve"> en el ejercicio de </w:t>
      </w:r>
      <w:r w:rsidR="00A56DAE">
        <w:t>proyectar y enviar las respuestas a</w:t>
      </w:r>
      <w:r w:rsidR="00131738">
        <w:t xml:space="preserve"> los </w:t>
      </w:r>
      <w:r w:rsidR="005F03BA">
        <w:t>peticionarios</w:t>
      </w:r>
      <w:r w:rsidR="00085BF2">
        <w:t>(as)</w:t>
      </w:r>
      <w:r w:rsidR="00A6136B">
        <w:t>,</w:t>
      </w:r>
      <w:r w:rsidR="005F03BA">
        <w:t xml:space="preserve"> así </w:t>
      </w:r>
      <w:r w:rsidR="00A222A4">
        <w:t>mejorar</w:t>
      </w:r>
      <w:r w:rsidR="005F03BA">
        <w:t xml:space="preserve"> la percepción </w:t>
      </w:r>
      <w:r w:rsidR="00720593">
        <w:t>sobre</w:t>
      </w:r>
      <w:r w:rsidR="00A222A4">
        <w:t xml:space="preserve"> la</w:t>
      </w:r>
      <w:r w:rsidR="005F03BA">
        <w:t xml:space="preserve"> gestión del Ministerio de Ambiente y Desarrollo Sostenible</w:t>
      </w:r>
      <w:r w:rsidR="00A222A4">
        <w:t xml:space="preserve"> con todos los sectores sociales</w:t>
      </w:r>
      <w:r w:rsidR="00A56DAE">
        <w:t>, lo anterior supone promover una cultura transformadora que impulse la mejora permanente y la excelencia de los servicios públicos, para satisfacer cabalmente las necesidades y expectativas de la ciudadanía con justicia, equidad, objetividad y eficiencia en el uso de los recursos públicos.</w:t>
      </w:r>
    </w:p>
    <w:p w14:paraId="608380A0" w14:textId="77777777" w:rsidR="001C699B" w:rsidRDefault="001C699B" w:rsidP="001C699B">
      <w:pPr>
        <w:spacing w:after="0" w:line="240" w:lineRule="auto"/>
      </w:pPr>
    </w:p>
    <w:p w14:paraId="2FEA528B" w14:textId="77777777" w:rsidR="003C3A2D" w:rsidRDefault="00B864A9" w:rsidP="00215DD4">
      <w:pPr>
        <w:spacing w:after="0" w:line="240" w:lineRule="auto"/>
      </w:pPr>
      <w:r>
        <w:t>La realización de medición de calidad de las respuestas que realiza la Entidad</w:t>
      </w:r>
      <w:r w:rsidR="00A56DAE">
        <w:t xml:space="preserve"> se encuentra bajo </w:t>
      </w:r>
      <w:r w:rsidR="003C3A2D">
        <w:t xml:space="preserve">responsabilidad de la Unidad Coordinadora para el Gobierno Abierto del Sector </w:t>
      </w:r>
      <w:r>
        <w:t xml:space="preserve">Administrativo de </w:t>
      </w:r>
      <w:r w:rsidR="003C3A2D">
        <w:t>Ambient</w:t>
      </w:r>
      <w:r>
        <w:t xml:space="preserve">e y Desarrollo Sostenible, </w:t>
      </w:r>
      <w:r w:rsidR="003C3A2D">
        <w:t xml:space="preserve">con el apoyo de todas las </w:t>
      </w:r>
      <w:r>
        <w:t>unidades administrativas</w:t>
      </w:r>
      <w:r w:rsidR="00720593">
        <w:t xml:space="preserve"> </w:t>
      </w:r>
      <w:r w:rsidR="003C3A2D">
        <w:t>de la Entidad.</w:t>
      </w:r>
    </w:p>
    <w:p w14:paraId="4B6D5EDC" w14:textId="77777777" w:rsidR="001C699B" w:rsidRDefault="001C699B" w:rsidP="00215DD4">
      <w:pPr>
        <w:spacing w:after="0" w:line="240" w:lineRule="auto"/>
      </w:pPr>
    </w:p>
    <w:p w14:paraId="3DDCF8E3" w14:textId="77777777" w:rsidR="00BD2580" w:rsidRDefault="00F75B41" w:rsidP="00215DD4">
      <w:pPr>
        <w:pStyle w:val="Ttulo1"/>
        <w:numPr>
          <w:ilvl w:val="0"/>
          <w:numId w:val="1"/>
        </w:numPr>
        <w:spacing w:before="0" w:line="240" w:lineRule="auto"/>
        <w:ind w:left="0"/>
        <w:jc w:val="left"/>
      </w:pPr>
      <w:bookmarkStart w:id="1" w:name="_Toc513124063"/>
      <w:r>
        <w:t>OBJETIVO Y ALCANCE</w:t>
      </w:r>
      <w:bookmarkEnd w:id="1"/>
      <w:r>
        <w:t xml:space="preserve"> </w:t>
      </w:r>
    </w:p>
    <w:p w14:paraId="6144E392" w14:textId="77777777" w:rsidR="001C699B" w:rsidRDefault="001C699B" w:rsidP="00215DD4">
      <w:pPr>
        <w:spacing w:after="0" w:line="240" w:lineRule="auto"/>
      </w:pPr>
    </w:p>
    <w:p w14:paraId="2ADB4057" w14:textId="77777777" w:rsidR="00F75B41" w:rsidRDefault="00F75B41" w:rsidP="00215DD4">
      <w:pPr>
        <w:spacing w:after="0" w:line="240" w:lineRule="auto"/>
      </w:pPr>
      <w:r w:rsidRPr="00F75B41">
        <w:t xml:space="preserve">La </w:t>
      </w:r>
      <w:r>
        <w:t>Unidad Coordinadora para el Gobierno Abierto</w:t>
      </w:r>
      <w:r w:rsidRPr="00F75B41">
        <w:t xml:space="preserve">, </w:t>
      </w:r>
      <w:r>
        <w:t xml:space="preserve">pretende </w:t>
      </w:r>
      <w:r w:rsidRPr="00F75B41">
        <w:t xml:space="preserve">a través de la </w:t>
      </w:r>
      <w:r>
        <w:t>presente guía establecer la</w:t>
      </w:r>
      <w:r w:rsidRPr="00F75B41">
        <w:t xml:space="preserve"> metodología para el análisis de la </w:t>
      </w:r>
      <w:r w:rsidR="001C699B">
        <w:t>calidad de lo</w:t>
      </w:r>
      <w:r>
        <w:t xml:space="preserve">s </w:t>
      </w:r>
      <w:r w:rsidR="001C699B">
        <w:t>documentos</w:t>
      </w:r>
      <w:r>
        <w:t xml:space="preserve"> </w:t>
      </w:r>
      <w:r w:rsidR="001C699B">
        <w:t>emitido</w:t>
      </w:r>
      <w:r>
        <w:t xml:space="preserve">s desde el Ministerio de Ambiente y Desarrollo Sostenible, </w:t>
      </w:r>
      <w:r w:rsidR="001C699B">
        <w:t xml:space="preserve">como respuesta </w:t>
      </w:r>
      <w:r w:rsidRPr="00F75B41">
        <w:t xml:space="preserve">a las </w:t>
      </w:r>
      <w:r w:rsidR="001C3BBC">
        <w:t>PQRSD</w:t>
      </w:r>
      <w:r w:rsidRPr="00F75B41">
        <w:t xml:space="preserve"> presentadas por los ciudadanos; con el fin de optimizar </w:t>
      </w:r>
      <w:r w:rsidR="001C699B">
        <w:t xml:space="preserve">los tiempos de </w:t>
      </w:r>
      <w:r w:rsidR="00720593">
        <w:t>gestión</w:t>
      </w:r>
      <w:r w:rsidR="001C699B">
        <w:t xml:space="preserve">, el lenguaje utilizado </w:t>
      </w:r>
      <w:r w:rsidRPr="00F75B41">
        <w:t xml:space="preserve">y </w:t>
      </w:r>
      <w:r w:rsidR="001C699B">
        <w:t>decidir a partir de esto</w:t>
      </w:r>
      <w:r w:rsidRPr="00F75B41">
        <w:t xml:space="preserve"> las acciones correctivas pertinentes, a efectos de brindarle al ciudadano una atención oportuna, eficaz y eficiente</w:t>
      </w:r>
      <w:r>
        <w:t xml:space="preserve">, que contribuyan al mejoramiento continuo </w:t>
      </w:r>
      <w:r w:rsidR="001C699B">
        <w:t>d</w:t>
      </w:r>
      <w:r>
        <w:t>el modelo de gobierno abierto</w:t>
      </w:r>
      <w:r w:rsidRPr="00F75B41">
        <w:t xml:space="preserve">. </w:t>
      </w:r>
    </w:p>
    <w:p w14:paraId="38401D73" w14:textId="77777777" w:rsidR="001C699B" w:rsidRDefault="001C699B" w:rsidP="001C699B">
      <w:pPr>
        <w:spacing w:after="0" w:line="240" w:lineRule="auto"/>
      </w:pPr>
    </w:p>
    <w:p w14:paraId="0EB6A86F" w14:textId="77777777" w:rsidR="001C699B" w:rsidRDefault="001C699B" w:rsidP="001C699B">
      <w:pPr>
        <w:pStyle w:val="Ttulo1"/>
        <w:numPr>
          <w:ilvl w:val="0"/>
          <w:numId w:val="1"/>
        </w:numPr>
        <w:spacing w:before="0" w:line="240" w:lineRule="auto"/>
        <w:ind w:left="0"/>
        <w:jc w:val="left"/>
      </w:pPr>
      <w:bookmarkStart w:id="2" w:name="_Toc513124064"/>
      <w:r>
        <w:t>DEFINICIÓN DE CRITERIOS</w:t>
      </w:r>
      <w:bookmarkEnd w:id="2"/>
    </w:p>
    <w:p w14:paraId="10687422" w14:textId="77777777" w:rsidR="0094509B" w:rsidRDefault="0094509B" w:rsidP="001C699B">
      <w:pPr>
        <w:spacing w:after="0" w:line="240" w:lineRule="auto"/>
      </w:pPr>
    </w:p>
    <w:p w14:paraId="123BEC9C" w14:textId="77777777" w:rsidR="00B96E4D" w:rsidRDefault="00F93AFF" w:rsidP="00B96E4D">
      <w:pPr>
        <w:spacing w:after="0" w:line="240" w:lineRule="auto"/>
      </w:pPr>
      <w:r>
        <w:t>La UCGA basada en los procesos de planeación estratégica establecidos para el Ministerio, y luego de determinar el “SERVICIO” como</w:t>
      </w:r>
      <w:r w:rsidR="00B96E4D">
        <w:t xml:space="preserve"> el</w:t>
      </w:r>
      <w:r>
        <w:t xml:space="preserve"> eje fundamental de la Administración pública, identifica la medición como un factor determinante en la </w:t>
      </w:r>
      <w:r w:rsidR="00B96E4D">
        <w:t xml:space="preserve">efectividad de la </w:t>
      </w:r>
      <w:r>
        <w:t>gestión</w:t>
      </w:r>
      <w:r w:rsidR="00B96E4D">
        <w:t>, proceso en el cual se realiza la comparación entre una variable determinada con un estándar de evaluación preestablec</w:t>
      </w:r>
      <w:r w:rsidR="00017F15">
        <w:t>ido, a fin de observar el grado</w:t>
      </w:r>
      <w:r w:rsidR="00B96E4D">
        <w:t xml:space="preserve"> </w:t>
      </w:r>
      <w:r w:rsidR="00720593">
        <w:t>con el cual</w:t>
      </w:r>
      <w:r w:rsidR="00B96E4D">
        <w:t xml:space="preserve"> se alcanzan los objetivos propuestos, permitiendo a la administración identificar las oportunidades de mejora, y realizar las correcciones pertinentes. </w:t>
      </w:r>
    </w:p>
    <w:p w14:paraId="1FF0CF40" w14:textId="77777777" w:rsidR="00B96E4D" w:rsidRDefault="00B96E4D" w:rsidP="00B96E4D">
      <w:pPr>
        <w:spacing w:after="0" w:line="240" w:lineRule="auto"/>
      </w:pPr>
    </w:p>
    <w:p w14:paraId="744B9507" w14:textId="77777777" w:rsidR="00655B38" w:rsidRDefault="00B96E4D" w:rsidP="00655B38">
      <w:pPr>
        <w:spacing w:after="0" w:line="240" w:lineRule="auto"/>
      </w:pPr>
      <w:r>
        <w:t xml:space="preserve">Por esto, </w:t>
      </w:r>
      <w:r w:rsidR="00655B38">
        <w:t>el MADS</w:t>
      </w:r>
      <w:r>
        <w:t xml:space="preserve"> </w:t>
      </w:r>
      <w:r w:rsidR="00655B38">
        <w:t>precisa la</w:t>
      </w:r>
      <w:r>
        <w:t xml:space="preserve"> </w:t>
      </w:r>
      <w:r w:rsidR="00655B38">
        <w:t>importancia de</w:t>
      </w:r>
      <w:r>
        <w:t xml:space="preserve"> elegir los criterios de evaluación adecuados, los cuales permitan medir y transmitir información real con respecto a la presente evaluación</w:t>
      </w:r>
      <w:r w:rsidR="00655B38">
        <w:t xml:space="preserve"> y la dinámica en las respuestas a las peticiones ciudadanas</w:t>
      </w:r>
      <w:r>
        <w:t>, de tal forma que</w:t>
      </w:r>
      <w:r w:rsidR="00655B38">
        <w:t>;</w:t>
      </w:r>
      <w:r>
        <w:t xml:space="preserve"> para efectos de la presente gu</w:t>
      </w:r>
      <w:r w:rsidR="00655B38">
        <w:t>ía y en pro de conservar el mismo lenguaje con el cual el Departamento Nacional de Planeación, articuló la “</w:t>
      </w:r>
      <w:r w:rsidR="00655B38" w:rsidRPr="001E36E9">
        <w:rPr>
          <w:i/>
          <w:u w:val="single"/>
        </w:rPr>
        <w:t xml:space="preserve">Guía para responder a solicitudes de </w:t>
      </w:r>
      <w:r w:rsidR="00655B38" w:rsidRPr="001E36E9">
        <w:rPr>
          <w:i/>
          <w:u w:val="single"/>
        </w:rPr>
        <w:lastRenderedPageBreak/>
        <w:t>acceso a información pública” y la Ley 1712 “Ley de Transparencia”</w:t>
      </w:r>
      <w:r w:rsidR="001B0C23">
        <w:t xml:space="preserve">, por ende la Entidad </w:t>
      </w:r>
      <w:r w:rsidR="00655B38">
        <w:t>determin</w:t>
      </w:r>
      <w:r w:rsidR="001B0C23">
        <w:t>ó</w:t>
      </w:r>
      <w:r w:rsidR="00655B38">
        <w:t xml:space="preserve"> los siguientes criterios</w:t>
      </w:r>
      <w:r w:rsidR="001242D2">
        <w:t xml:space="preserve"> de evaluación:</w:t>
      </w:r>
      <w:r w:rsidR="00655B38">
        <w:t xml:space="preserve"> </w:t>
      </w:r>
    </w:p>
    <w:p w14:paraId="12A11206" w14:textId="77777777" w:rsidR="00B96E4D" w:rsidRDefault="00B96E4D" w:rsidP="00B96E4D">
      <w:pPr>
        <w:spacing w:after="0" w:line="240" w:lineRule="auto"/>
      </w:pPr>
    </w:p>
    <w:p w14:paraId="483D39FC" w14:textId="5D668003" w:rsidR="005F03BA" w:rsidRDefault="00315F7F" w:rsidP="001C699B">
      <w:pPr>
        <w:pStyle w:val="Descripcin"/>
        <w:spacing w:after="0"/>
        <w:jc w:val="center"/>
        <w:rPr>
          <w:i w:val="0"/>
          <w:color w:val="auto"/>
        </w:rPr>
      </w:pPr>
      <w:bookmarkStart w:id="3" w:name="_Ref461549502"/>
      <w:r w:rsidRPr="00315F7F">
        <w:rPr>
          <w:i w:val="0"/>
          <w:color w:val="auto"/>
        </w:rPr>
        <w:t xml:space="preserve">Tabla </w:t>
      </w:r>
      <w:r w:rsidR="003A6E54" w:rsidRPr="00315F7F">
        <w:rPr>
          <w:i w:val="0"/>
          <w:color w:val="auto"/>
        </w:rPr>
        <w:fldChar w:fldCharType="begin"/>
      </w:r>
      <w:r w:rsidRPr="00315F7F">
        <w:rPr>
          <w:i w:val="0"/>
          <w:color w:val="auto"/>
        </w:rPr>
        <w:instrText xml:space="preserve"> SEQ Tabla \* ARABIC </w:instrText>
      </w:r>
      <w:r w:rsidR="003A6E54" w:rsidRPr="00315F7F">
        <w:rPr>
          <w:i w:val="0"/>
          <w:color w:val="auto"/>
        </w:rPr>
        <w:fldChar w:fldCharType="separate"/>
      </w:r>
      <w:r w:rsidR="00815F58">
        <w:rPr>
          <w:i w:val="0"/>
          <w:noProof/>
          <w:color w:val="auto"/>
        </w:rPr>
        <w:t>1</w:t>
      </w:r>
      <w:r w:rsidR="003A6E54" w:rsidRPr="00315F7F">
        <w:rPr>
          <w:i w:val="0"/>
          <w:color w:val="auto"/>
        </w:rPr>
        <w:fldChar w:fldCharType="end"/>
      </w:r>
      <w:bookmarkEnd w:id="3"/>
      <w:r w:rsidRPr="00315F7F">
        <w:rPr>
          <w:i w:val="0"/>
          <w:color w:val="auto"/>
        </w:rPr>
        <w:t xml:space="preserve">. Criterios de evaluación </w:t>
      </w:r>
      <w:r w:rsidR="00441023">
        <w:rPr>
          <w:i w:val="0"/>
          <w:color w:val="auto"/>
        </w:rPr>
        <w:t xml:space="preserve">de </w:t>
      </w:r>
      <w:r w:rsidRPr="00315F7F">
        <w:rPr>
          <w:i w:val="0"/>
          <w:color w:val="auto"/>
        </w:rPr>
        <w:t>calidad de las respuestas a</w:t>
      </w:r>
      <w:r w:rsidR="00441023">
        <w:rPr>
          <w:i w:val="0"/>
          <w:color w:val="auto"/>
        </w:rPr>
        <w:t xml:space="preserve"> las PQRSD</w:t>
      </w:r>
      <w:r w:rsidR="00A94BD4">
        <w:rPr>
          <w:i w:val="0"/>
          <w:color w:val="auto"/>
        </w:rPr>
        <w:t xml:space="preserve"> en </w:t>
      </w:r>
      <w:proofErr w:type="spellStart"/>
      <w:r w:rsidR="00A94BD4">
        <w:rPr>
          <w:i w:val="0"/>
          <w:color w:val="auto"/>
        </w:rPr>
        <w:t>MinAmbiente</w:t>
      </w:r>
      <w:proofErr w:type="spellEnd"/>
    </w:p>
    <w:tbl>
      <w:tblPr>
        <w:tblW w:w="5000" w:type="pct"/>
        <w:tblCellMar>
          <w:left w:w="70" w:type="dxa"/>
          <w:right w:w="70" w:type="dxa"/>
        </w:tblCellMar>
        <w:tblLook w:val="04A0" w:firstRow="1" w:lastRow="0" w:firstColumn="1" w:lastColumn="0" w:noHBand="0" w:noVBand="1"/>
      </w:tblPr>
      <w:tblGrid>
        <w:gridCol w:w="339"/>
        <w:gridCol w:w="1361"/>
        <w:gridCol w:w="7128"/>
      </w:tblGrid>
      <w:tr w:rsidR="00BD6A68" w:rsidRPr="00833B7D" w14:paraId="73D496C2" w14:textId="77777777" w:rsidTr="00215DD4">
        <w:trPr>
          <w:trHeight w:val="170"/>
          <w:tblHeader/>
        </w:trPr>
        <w:tc>
          <w:tcPr>
            <w:tcW w:w="192" w:type="pct"/>
            <w:tcBorders>
              <w:top w:val="single" w:sz="4" w:space="0" w:color="auto"/>
              <w:left w:val="single" w:sz="4" w:space="0" w:color="auto"/>
              <w:bottom w:val="single" w:sz="4" w:space="0" w:color="000000"/>
              <w:right w:val="single" w:sz="4" w:space="0" w:color="auto"/>
            </w:tcBorders>
            <w:shd w:val="clear" w:color="auto" w:fill="A6A6A6" w:themeFill="background1" w:themeFillShade="A6"/>
          </w:tcPr>
          <w:p w14:paraId="6FE64F29" w14:textId="77777777" w:rsidR="00BD6A68" w:rsidRPr="00833B7D" w:rsidRDefault="00BD6A68" w:rsidP="001C699B">
            <w:pPr>
              <w:spacing w:after="0" w:line="240" w:lineRule="auto"/>
              <w:jc w:val="center"/>
              <w:rPr>
                <w:b/>
                <w:bCs/>
                <w:sz w:val="20"/>
                <w:szCs w:val="20"/>
              </w:rPr>
            </w:pPr>
            <w:proofErr w:type="spellStart"/>
            <w:r>
              <w:rPr>
                <w:b/>
                <w:bCs/>
                <w:sz w:val="20"/>
                <w:szCs w:val="20"/>
              </w:rPr>
              <w:t>N°</w:t>
            </w:r>
            <w:proofErr w:type="spellEnd"/>
          </w:p>
        </w:tc>
        <w:tc>
          <w:tcPr>
            <w:tcW w:w="771" w:type="pct"/>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14:paraId="7177D732" w14:textId="77777777" w:rsidR="00BD6A68" w:rsidRPr="00833B7D" w:rsidRDefault="00655B38" w:rsidP="003B67BE">
            <w:pPr>
              <w:spacing w:after="0" w:line="240" w:lineRule="auto"/>
              <w:jc w:val="center"/>
              <w:rPr>
                <w:b/>
                <w:bCs/>
                <w:sz w:val="20"/>
                <w:szCs w:val="20"/>
              </w:rPr>
            </w:pPr>
            <w:r>
              <w:rPr>
                <w:b/>
                <w:bCs/>
                <w:sz w:val="20"/>
                <w:szCs w:val="20"/>
              </w:rPr>
              <w:t>CRITERIO DE EVALUACIÓN</w:t>
            </w:r>
          </w:p>
        </w:tc>
        <w:tc>
          <w:tcPr>
            <w:tcW w:w="4037"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D878A62" w14:textId="77777777" w:rsidR="00BD6A68" w:rsidRPr="00833B7D" w:rsidRDefault="001E36E9" w:rsidP="001C699B">
            <w:pPr>
              <w:spacing w:after="0" w:line="240" w:lineRule="auto"/>
              <w:jc w:val="center"/>
              <w:rPr>
                <w:b/>
                <w:sz w:val="20"/>
                <w:szCs w:val="20"/>
              </w:rPr>
            </w:pPr>
            <w:r>
              <w:rPr>
                <w:b/>
                <w:sz w:val="20"/>
                <w:szCs w:val="20"/>
              </w:rPr>
              <w:t xml:space="preserve">DESCRIPCIÓN </w:t>
            </w:r>
          </w:p>
        </w:tc>
      </w:tr>
      <w:tr w:rsidR="00BD6A68" w:rsidRPr="00833B7D" w14:paraId="37B35EE4" w14:textId="77777777" w:rsidTr="00215DD4">
        <w:trPr>
          <w:trHeight w:val="170"/>
        </w:trPr>
        <w:tc>
          <w:tcPr>
            <w:tcW w:w="192" w:type="pct"/>
            <w:vMerge w:val="restart"/>
            <w:tcBorders>
              <w:top w:val="single" w:sz="4" w:space="0" w:color="auto"/>
              <w:left w:val="single" w:sz="4" w:space="0" w:color="auto"/>
              <w:right w:val="single" w:sz="4" w:space="0" w:color="auto"/>
            </w:tcBorders>
            <w:vAlign w:val="center"/>
          </w:tcPr>
          <w:p w14:paraId="3DA8836B" w14:textId="77777777" w:rsidR="00BD6A68" w:rsidRPr="00833B7D" w:rsidRDefault="00BD6A68" w:rsidP="001C699B">
            <w:pPr>
              <w:spacing w:after="0" w:line="240" w:lineRule="auto"/>
              <w:jc w:val="center"/>
              <w:rPr>
                <w:b/>
                <w:bCs/>
                <w:sz w:val="20"/>
                <w:szCs w:val="20"/>
              </w:rPr>
            </w:pPr>
            <w:r>
              <w:rPr>
                <w:b/>
                <w:bCs/>
                <w:sz w:val="20"/>
                <w:szCs w:val="20"/>
              </w:rPr>
              <w:t>1</w:t>
            </w:r>
          </w:p>
        </w:tc>
        <w:tc>
          <w:tcPr>
            <w:tcW w:w="7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C66BED" w14:textId="77777777" w:rsidR="00BD6A68" w:rsidRPr="00833B7D" w:rsidRDefault="00B54AF4" w:rsidP="003B67BE">
            <w:pPr>
              <w:spacing w:after="0" w:line="240" w:lineRule="auto"/>
              <w:jc w:val="center"/>
              <w:rPr>
                <w:b/>
                <w:bCs/>
                <w:sz w:val="20"/>
                <w:szCs w:val="20"/>
              </w:rPr>
            </w:pPr>
            <w:r>
              <w:rPr>
                <w:b/>
                <w:bCs/>
                <w:sz w:val="20"/>
                <w:szCs w:val="20"/>
              </w:rPr>
              <w:t xml:space="preserve">RESPUESTA COMPLETA O </w:t>
            </w:r>
            <w:r w:rsidRPr="00833B7D">
              <w:rPr>
                <w:b/>
                <w:bCs/>
                <w:sz w:val="20"/>
                <w:szCs w:val="20"/>
              </w:rPr>
              <w:t>RESOLUCIÓN DE FONDO</w:t>
            </w:r>
          </w:p>
        </w:tc>
        <w:tc>
          <w:tcPr>
            <w:tcW w:w="4037" w:type="pct"/>
            <w:tcBorders>
              <w:top w:val="single" w:sz="4" w:space="0" w:color="auto"/>
              <w:left w:val="nil"/>
              <w:bottom w:val="single" w:sz="4" w:space="0" w:color="auto"/>
              <w:right w:val="single" w:sz="4" w:space="0" w:color="auto"/>
            </w:tcBorders>
            <w:shd w:val="clear" w:color="auto" w:fill="auto"/>
            <w:vAlign w:val="center"/>
            <w:hideMark/>
          </w:tcPr>
          <w:p w14:paraId="4B272496" w14:textId="77777777" w:rsidR="00BD6A68" w:rsidRPr="00833B7D" w:rsidRDefault="00BD6A68" w:rsidP="001C699B">
            <w:pPr>
              <w:spacing w:after="0" w:line="240" w:lineRule="auto"/>
              <w:rPr>
                <w:sz w:val="20"/>
                <w:szCs w:val="20"/>
              </w:rPr>
            </w:pPr>
            <w:r w:rsidRPr="00833B7D">
              <w:rPr>
                <w:sz w:val="20"/>
                <w:szCs w:val="20"/>
              </w:rPr>
              <w:t>La respuesta dada resuelve concretamente la petición o peticiones realizadas</w:t>
            </w:r>
          </w:p>
        </w:tc>
      </w:tr>
      <w:tr w:rsidR="00BD6A68" w:rsidRPr="00833B7D" w14:paraId="32BF8E79" w14:textId="77777777" w:rsidTr="00215DD4">
        <w:trPr>
          <w:trHeight w:val="170"/>
        </w:trPr>
        <w:tc>
          <w:tcPr>
            <w:tcW w:w="192" w:type="pct"/>
            <w:vMerge/>
            <w:tcBorders>
              <w:left w:val="single" w:sz="4" w:space="0" w:color="auto"/>
              <w:bottom w:val="single" w:sz="4" w:space="0" w:color="000000"/>
              <w:right w:val="single" w:sz="4" w:space="0" w:color="auto"/>
            </w:tcBorders>
            <w:vAlign w:val="center"/>
          </w:tcPr>
          <w:p w14:paraId="774C26D8" w14:textId="77777777" w:rsidR="00BD6A68" w:rsidRPr="00833B7D" w:rsidRDefault="00BD6A68" w:rsidP="001C699B">
            <w:pPr>
              <w:spacing w:after="0" w:line="240" w:lineRule="auto"/>
              <w:jc w:val="center"/>
              <w:rPr>
                <w:b/>
                <w:bCs/>
                <w:sz w:val="20"/>
                <w:szCs w:val="20"/>
              </w:rPr>
            </w:pPr>
          </w:p>
        </w:tc>
        <w:tc>
          <w:tcPr>
            <w:tcW w:w="771" w:type="pct"/>
            <w:vMerge/>
            <w:tcBorders>
              <w:top w:val="single" w:sz="4" w:space="0" w:color="auto"/>
              <w:left w:val="single" w:sz="4" w:space="0" w:color="auto"/>
              <w:bottom w:val="single" w:sz="4" w:space="0" w:color="000000"/>
              <w:right w:val="single" w:sz="4" w:space="0" w:color="auto"/>
            </w:tcBorders>
            <w:vAlign w:val="center"/>
            <w:hideMark/>
          </w:tcPr>
          <w:p w14:paraId="3F7B1A64" w14:textId="77777777" w:rsidR="00BD6A68" w:rsidRPr="00833B7D" w:rsidRDefault="00BD6A68" w:rsidP="003B67BE">
            <w:pPr>
              <w:spacing w:after="0" w:line="240" w:lineRule="auto"/>
              <w:jc w:val="center"/>
              <w:rPr>
                <w:b/>
                <w:bCs/>
                <w:sz w:val="20"/>
                <w:szCs w:val="20"/>
              </w:rPr>
            </w:pPr>
          </w:p>
        </w:tc>
        <w:tc>
          <w:tcPr>
            <w:tcW w:w="4037" w:type="pct"/>
            <w:tcBorders>
              <w:top w:val="nil"/>
              <w:left w:val="nil"/>
              <w:bottom w:val="single" w:sz="4" w:space="0" w:color="auto"/>
              <w:right w:val="single" w:sz="4" w:space="0" w:color="auto"/>
            </w:tcBorders>
            <w:shd w:val="clear" w:color="auto" w:fill="auto"/>
            <w:vAlign w:val="center"/>
            <w:hideMark/>
          </w:tcPr>
          <w:p w14:paraId="70B033C9" w14:textId="77777777" w:rsidR="00BD6A68" w:rsidRPr="00833B7D" w:rsidRDefault="001E36E9" w:rsidP="008F4128">
            <w:pPr>
              <w:spacing w:after="0" w:line="240" w:lineRule="auto"/>
              <w:rPr>
                <w:sz w:val="20"/>
                <w:szCs w:val="20"/>
              </w:rPr>
            </w:pPr>
            <w:r w:rsidRPr="001E36E9">
              <w:rPr>
                <w:sz w:val="20"/>
                <w:szCs w:val="20"/>
              </w:rPr>
              <w:t>La respuesta es completa cuando responde cada uno de</w:t>
            </w:r>
            <w:r>
              <w:rPr>
                <w:sz w:val="20"/>
                <w:szCs w:val="20"/>
              </w:rPr>
              <w:t xml:space="preserve"> </w:t>
            </w:r>
            <w:r w:rsidRPr="001E36E9">
              <w:rPr>
                <w:sz w:val="20"/>
                <w:szCs w:val="20"/>
              </w:rPr>
              <w:t>los interrogantes o</w:t>
            </w:r>
            <w:r w:rsidR="003A1206">
              <w:rPr>
                <w:sz w:val="20"/>
                <w:szCs w:val="20"/>
              </w:rPr>
              <w:t xml:space="preserve"> requerimientos de la solicitud; e</w:t>
            </w:r>
            <w:r w:rsidRPr="001E36E9">
              <w:rPr>
                <w:sz w:val="20"/>
                <w:szCs w:val="20"/>
              </w:rPr>
              <w:t>s decir, debe relacionarse directamente con lo</w:t>
            </w:r>
            <w:r>
              <w:rPr>
                <w:sz w:val="20"/>
                <w:szCs w:val="20"/>
              </w:rPr>
              <w:t xml:space="preserve"> </w:t>
            </w:r>
            <w:r w:rsidRPr="001E36E9">
              <w:rPr>
                <w:sz w:val="20"/>
                <w:szCs w:val="20"/>
              </w:rPr>
              <w:t>que fue solicitado y sin dar evasivas</w:t>
            </w:r>
            <w:r>
              <w:rPr>
                <w:sz w:val="20"/>
                <w:szCs w:val="20"/>
              </w:rPr>
              <w:t>.</w:t>
            </w:r>
          </w:p>
        </w:tc>
      </w:tr>
      <w:tr w:rsidR="001E36E9" w:rsidRPr="00833B7D" w14:paraId="37BFA269" w14:textId="77777777" w:rsidTr="00215DD4">
        <w:trPr>
          <w:trHeight w:val="194"/>
        </w:trPr>
        <w:tc>
          <w:tcPr>
            <w:tcW w:w="192" w:type="pct"/>
            <w:vMerge w:val="restart"/>
            <w:tcBorders>
              <w:top w:val="nil"/>
              <w:left w:val="single" w:sz="4" w:space="0" w:color="auto"/>
              <w:right w:val="single" w:sz="4" w:space="0" w:color="auto"/>
            </w:tcBorders>
            <w:vAlign w:val="center"/>
          </w:tcPr>
          <w:p w14:paraId="79C97386" w14:textId="77777777" w:rsidR="001E36E9" w:rsidRPr="00833B7D" w:rsidRDefault="001E36E9" w:rsidP="001C699B">
            <w:pPr>
              <w:spacing w:after="0" w:line="240" w:lineRule="auto"/>
              <w:jc w:val="center"/>
              <w:rPr>
                <w:b/>
                <w:bCs/>
                <w:sz w:val="20"/>
                <w:szCs w:val="20"/>
              </w:rPr>
            </w:pPr>
            <w:r>
              <w:rPr>
                <w:b/>
                <w:bCs/>
                <w:sz w:val="20"/>
                <w:szCs w:val="20"/>
              </w:rPr>
              <w:t>2</w:t>
            </w:r>
          </w:p>
        </w:tc>
        <w:tc>
          <w:tcPr>
            <w:tcW w:w="771" w:type="pct"/>
            <w:vMerge w:val="restart"/>
            <w:tcBorders>
              <w:top w:val="nil"/>
              <w:left w:val="single" w:sz="4" w:space="0" w:color="auto"/>
              <w:right w:val="single" w:sz="4" w:space="0" w:color="auto"/>
            </w:tcBorders>
            <w:shd w:val="clear" w:color="auto" w:fill="auto"/>
            <w:vAlign w:val="center"/>
            <w:hideMark/>
          </w:tcPr>
          <w:p w14:paraId="4061C507" w14:textId="77777777" w:rsidR="001E36E9" w:rsidRPr="00833B7D" w:rsidRDefault="00B54AF4" w:rsidP="003B67BE">
            <w:pPr>
              <w:spacing w:after="0" w:line="240" w:lineRule="auto"/>
              <w:jc w:val="center"/>
              <w:rPr>
                <w:b/>
                <w:bCs/>
                <w:sz w:val="20"/>
                <w:szCs w:val="20"/>
              </w:rPr>
            </w:pPr>
            <w:r>
              <w:rPr>
                <w:b/>
                <w:bCs/>
                <w:sz w:val="20"/>
                <w:szCs w:val="20"/>
              </w:rPr>
              <w:t>RESPUESTA OBJETIVA Y MOTIVADA</w:t>
            </w:r>
          </w:p>
        </w:tc>
        <w:tc>
          <w:tcPr>
            <w:tcW w:w="4037" w:type="pct"/>
            <w:tcBorders>
              <w:top w:val="nil"/>
              <w:left w:val="nil"/>
              <w:bottom w:val="single" w:sz="4" w:space="0" w:color="auto"/>
              <w:right w:val="single" w:sz="4" w:space="0" w:color="auto"/>
            </w:tcBorders>
            <w:shd w:val="clear" w:color="auto" w:fill="auto"/>
            <w:vAlign w:val="center"/>
            <w:hideMark/>
          </w:tcPr>
          <w:p w14:paraId="01D0865F" w14:textId="77777777" w:rsidR="001E36E9" w:rsidRPr="00833B7D" w:rsidRDefault="001E36E9" w:rsidP="001C699B">
            <w:pPr>
              <w:spacing w:after="0" w:line="240" w:lineRule="auto"/>
              <w:rPr>
                <w:sz w:val="20"/>
                <w:szCs w:val="20"/>
              </w:rPr>
            </w:pPr>
            <w:r w:rsidRPr="00833B7D">
              <w:rPr>
                <w:sz w:val="20"/>
                <w:szCs w:val="20"/>
              </w:rPr>
              <w:t>La respuesta ofrece razones precisas al pe</w:t>
            </w:r>
            <w:r>
              <w:rPr>
                <w:sz w:val="20"/>
                <w:szCs w:val="20"/>
              </w:rPr>
              <w:t>ticionario(a) para conceder, negar</w:t>
            </w:r>
            <w:r w:rsidRPr="00833B7D">
              <w:rPr>
                <w:sz w:val="20"/>
                <w:szCs w:val="20"/>
              </w:rPr>
              <w:t xml:space="preserve"> o trasladar su solicitud</w:t>
            </w:r>
            <w:r>
              <w:rPr>
                <w:sz w:val="20"/>
                <w:szCs w:val="20"/>
              </w:rPr>
              <w:t xml:space="preserve">. </w:t>
            </w:r>
            <w:proofErr w:type="gramStart"/>
            <w:r>
              <w:rPr>
                <w:sz w:val="20"/>
                <w:szCs w:val="20"/>
              </w:rPr>
              <w:t>Asimismo</w:t>
            </w:r>
            <w:proofErr w:type="gramEnd"/>
            <w:r>
              <w:rPr>
                <w:sz w:val="20"/>
                <w:szCs w:val="20"/>
              </w:rPr>
              <w:t xml:space="preserve"> presenta el sustento jurídico</w:t>
            </w:r>
            <w:r w:rsidR="008F4128">
              <w:rPr>
                <w:sz w:val="20"/>
                <w:szCs w:val="20"/>
              </w:rPr>
              <w:t xml:space="preserve"> y técnico</w:t>
            </w:r>
            <w:r>
              <w:rPr>
                <w:sz w:val="20"/>
                <w:szCs w:val="20"/>
              </w:rPr>
              <w:t xml:space="preserve"> de la decisión.</w:t>
            </w:r>
          </w:p>
        </w:tc>
      </w:tr>
      <w:tr w:rsidR="001E36E9" w:rsidRPr="00833B7D" w14:paraId="77F7B473" w14:textId="77777777" w:rsidTr="00215DD4">
        <w:trPr>
          <w:trHeight w:val="194"/>
        </w:trPr>
        <w:tc>
          <w:tcPr>
            <w:tcW w:w="192" w:type="pct"/>
            <w:vMerge/>
            <w:tcBorders>
              <w:left w:val="single" w:sz="4" w:space="0" w:color="auto"/>
              <w:bottom w:val="single" w:sz="4" w:space="0" w:color="auto"/>
              <w:right w:val="single" w:sz="4" w:space="0" w:color="auto"/>
            </w:tcBorders>
            <w:vAlign w:val="center"/>
          </w:tcPr>
          <w:p w14:paraId="4DC65CF4" w14:textId="77777777" w:rsidR="001E36E9" w:rsidRDefault="001E36E9" w:rsidP="001C699B">
            <w:pPr>
              <w:spacing w:after="0" w:line="240" w:lineRule="auto"/>
              <w:jc w:val="center"/>
              <w:rPr>
                <w:b/>
                <w:bCs/>
                <w:sz w:val="20"/>
                <w:szCs w:val="20"/>
              </w:rPr>
            </w:pPr>
          </w:p>
        </w:tc>
        <w:tc>
          <w:tcPr>
            <w:tcW w:w="771" w:type="pct"/>
            <w:vMerge/>
            <w:tcBorders>
              <w:left w:val="single" w:sz="4" w:space="0" w:color="auto"/>
              <w:bottom w:val="single" w:sz="4" w:space="0" w:color="auto"/>
              <w:right w:val="single" w:sz="4" w:space="0" w:color="auto"/>
            </w:tcBorders>
            <w:shd w:val="clear" w:color="auto" w:fill="auto"/>
            <w:vAlign w:val="center"/>
          </w:tcPr>
          <w:p w14:paraId="4DE8E012" w14:textId="77777777" w:rsidR="001E36E9" w:rsidRDefault="001E36E9" w:rsidP="003B67BE">
            <w:pPr>
              <w:spacing w:after="0" w:line="240" w:lineRule="auto"/>
              <w:jc w:val="center"/>
              <w:rPr>
                <w:b/>
                <w:bCs/>
                <w:sz w:val="20"/>
                <w:szCs w:val="20"/>
              </w:rPr>
            </w:pPr>
          </w:p>
        </w:tc>
        <w:tc>
          <w:tcPr>
            <w:tcW w:w="4037" w:type="pct"/>
            <w:tcBorders>
              <w:top w:val="nil"/>
              <w:left w:val="nil"/>
              <w:bottom w:val="single" w:sz="4" w:space="0" w:color="auto"/>
              <w:right w:val="single" w:sz="4" w:space="0" w:color="auto"/>
            </w:tcBorders>
            <w:shd w:val="clear" w:color="auto" w:fill="auto"/>
            <w:vAlign w:val="center"/>
          </w:tcPr>
          <w:p w14:paraId="79E8EDCC" w14:textId="77777777" w:rsidR="001E36E9" w:rsidRPr="00833B7D" w:rsidRDefault="001E36E9" w:rsidP="001E36E9">
            <w:pPr>
              <w:spacing w:after="0" w:line="240" w:lineRule="auto"/>
              <w:rPr>
                <w:sz w:val="20"/>
                <w:szCs w:val="20"/>
              </w:rPr>
            </w:pPr>
            <w:r w:rsidRPr="001E36E9">
              <w:rPr>
                <w:sz w:val="20"/>
                <w:szCs w:val="20"/>
              </w:rPr>
              <w:t>La respuesta es objetiva cuando se limita a responder</w:t>
            </w:r>
            <w:r>
              <w:rPr>
                <w:sz w:val="20"/>
                <w:szCs w:val="20"/>
              </w:rPr>
              <w:t xml:space="preserve"> </w:t>
            </w:r>
            <w:r w:rsidRPr="001E36E9">
              <w:rPr>
                <w:sz w:val="20"/>
                <w:szCs w:val="20"/>
              </w:rPr>
              <w:t>basándose en el contenido de los documentos que</w:t>
            </w:r>
            <w:r>
              <w:rPr>
                <w:sz w:val="20"/>
                <w:szCs w:val="20"/>
              </w:rPr>
              <w:t xml:space="preserve"> </w:t>
            </w:r>
            <w:r w:rsidRPr="001E36E9">
              <w:rPr>
                <w:sz w:val="20"/>
                <w:szCs w:val="20"/>
              </w:rPr>
              <w:t>genere, obtenga, adquiera, o controle el sujeto obligado</w:t>
            </w:r>
            <w:r>
              <w:rPr>
                <w:sz w:val="20"/>
                <w:szCs w:val="20"/>
              </w:rPr>
              <w:t xml:space="preserve"> </w:t>
            </w:r>
            <w:r w:rsidRPr="001E36E9">
              <w:rPr>
                <w:sz w:val="20"/>
                <w:szCs w:val="20"/>
              </w:rPr>
              <w:t>y no en intereses, preocupaciones u orientaciones que</w:t>
            </w:r>
            <w:r>
              <w:rPr>
                <w:sz w:val="20"/>
                <w:szCs w:val="20"/>
              </w:rPr>
              <w:t xml:space="preserve"> </w:t>
            </w:r>
            <w:r w:rsidRPr="001E36E9">
              <w:rPr>
                <w:sz w:val="20"/>
                <w:szCs w:val="20"/>
              </w:rPr>
              <w:t>pueda tener el mismo frente a la información.</w:t>
            </w:r>
          </w:p>
        </w:tc>
      </w:tr>
      <w:tr w:rsidR="00B54AF4" w:rsidRPr="00833B7D" w14:paraId="63B097FD" w14:textId="77777777" w:rsidTr="00215DD4">
        <w:trPr>
          <w:trHeight w:val="194"/>
        </w:trPr>
        <w:tc>
          <w:tcPr>
            <w:tcW w:w="192" w:type="pct"/>
            <w:vMerge w:val="restart"/>
            <w:tcBorders>
              <w:top w:val="nil"/>
              <w:left w:val="single" w:sz="4" w:space="0" w:color="auto"/>
              <w:right w:val="single" w:sz="4" w:space="0" w:color="auto"/>
            </w:tcBorders>
            <w:vAlign w:val="center"/>
          </w:tcPr>
          <w:p w14:paraId="74D29E07" w14:textId="77777777" w:rsidR="00B54AF4" w:rsidRPr="00833B7D" w:rsidRDefault="00B54AF4" w:rsidP="001C699B">
            <w:pPr>
              <w:spacing w:after="0" w:line="240" w:lineRule="auto"/>
              <w:jc w:val="center"/>
              <w:rPr>
                <w:b/>
                <w:bCs/>
                <w:sz w:val="20"/>
                <w:szCs w:val="20"/>
              </w:rPr>
            </w:pPr>
            <w:r>
              <w:rPr>
                <w:b/>
                <w:bCs/>
                <w:sz w:val="20"/>
                <w:szCs w:val="20"/>
              </w:rPr>
              <w:t>3</w:t>
            </w:r>
          </w:p>
        </w:tc>
        <w:tc>
          <w:tcPr>
            <w:tcW w:w="771" w:type="pct"/>
            <w:vMerge w:val="restart"/>
            <w:tcBorders>
              <w:top w:val="nil"/>
              <w:left w:val="single" w:sz="4" w:space="0" w:color="auto"/>
              <w:right w:val="single" w:sz="4" w:space="0" w:color="auto"/>
            </w:tcBorders>
            <w:shd w:val="clear" w:color="auto" w:fill="auto"/>
            <w:vAlign w:val="center"/>
            <w:hideMark/>
          </w:tcPr>
          <w:p w14:paraId="4F05754B" w14:textId="77777777" w:rsidR="00B54AF4" w:rsidRPr="00833B7D" w:rsidRDefault="00B54AF4" w:rsidP="003B67BE">
            <w:pPr>
              <w:spacing w:after="0" w:line="240" w:lineRule="auto"/>
              <w:jc w:val="center"/>
              <w:rPr>
                <w:b/>
                <w:bCs/>
                <w:sz w:val="20"/>
                <w:szCs w:val="20"/>
              </w:rPr>
            </w:pPr>
            <w:r>
              <w:rPr>
                <w:b/>
                <w:bCs/>
                <w:sz w:val="20"/>
                <w:szCs w:val="20"/>
              </w:rPr>
              <w:t>RESPUESTA CLARA Y PRECISA</w:t>
            </w:r>
          </w:p>
        </w:tc>
        <w:tc>
          <w:tcPr>
            <w:tcW w:w="4037" w:type="pct"/>
            <w:tcBorders>
              <w:top w:val="nil"/>
              <w:left w:val="nil"/>
              <w:bottom w:val="single" w:sz="4" w:space="0" w:color="auto"/>
              <w:right w:val="single" w:sz="4" w:space="0" w:color="auto"/>
            </w:tcBorders>
            <w:shd w:val="clear" w:color="auto" w:fill="auto"/>
            <w:vAlign w:val="center"/>
            <w:hideMark/>
          </w:tcPr>
          <w:p w14:paraId="1F7196BD" w14:textId="77777777" w:rsidR="00B54AF4" w:rsidRPr="00833B7D" w:rsidRDefault="00B54AF4" w:rsidP="001C699B">
            <w:pPr>
              <w:spacing w:after="0" w:line="240" w:lineRule="auto"/>
              <w:rPr>
                <w:sz w:val="20"/>
                <w:szCs w:val="20"/>
              </w:rPr>
            </w:pPr>
            <w:r w:rsidRPr="00833B7D">
              <w:rPr>
                <w:sz w:val="20"/>
                <w:szCs w:val="20"/>
              </w:rPr>
              <w:t xml:space="preserve">La respuesta dada es clara y está escrita en un lenguaje comprensible </w:t>
            </w:r>
            <w:r>
              <w:rPr>
                <w:sz w:val="20"/>
                <w:szCs w:val="20"/>
              </w:rPr>
              <w:t>de cara al</w:t>
            </w:r>
            <w:r w:rsidRPr="00833B7D">
              <w:rPr>
                <w:sz w:val="20"/>
                <w:szCs w:val="20"/>
              </w:rPr>
              <w:t xml:space="preserve"> peticionario</w:t>
            </w:r>
            <w:r>
              <w:rPr>
                <w:sz w:val="20"/>
                <w:szCs w:val="20"/>
              </w:rPr>
              <w:t>(a)</w:t>
            </w:r>
          </w:p>
        </w:tc>
      </w:tr>
      <w:tr w:rsidR="00B54AF4" w:rsidRPr="00833B7D" w14:paraId="42F9350E" w14:textId="77777777" w:rsidTr="00215DD4">
        <w:trPr>
          <w:trHeight w:val="194"/>
        </w:trPr>
        <w:tc>
          <w:tcPr>
            <w:tcW w:w="192" w:type="pct"/>
            <w:vMerge/>
            <w:tcBorders>
              <w:left w:val="single" w:sz="4" w:space="0" w:color="auto"/>
              <w:bottom w:val="single" w:sz="4" w:space="0" w:color="auto"/>
              <w:right w:val="single" w:sz="4" w:space="0" w:color="auto"/>
            </w:tcBorders>
            <w:vAlign w:val="center"/>
          </w:tcPr>
          <w:p w14:paraId="08C3C21E" w14:textId="77777777" w:rsidR="00B54AF4" w:rsidRDefault="00B54AF4" w:rsidP="001C699B">
            <w:pPr>
              <w:spacing w:after="0" w:line="240" w:lineRule="auto"/>
              <w:jc w:val="center"/>
              <w:rPr>
                <w:b/>
                <w:bCs/>
                <w:sz w:val="20"/>
                <w:szCs w:val="20"/>
              </w:rPr>
            </w:pPr>
          </w:p>
        </w:tc>
        <w:tc>
          <w:tcPr>
            <w:tcW w:w="771" w:type="pct"/>
            <w:vMerge/>
            <w:tcBorders>
              <w:left w:val="single" w:sz="4" w:space="0" w:color="auto"/>
              <w:bottom w:val="single" w:sz="4" w:space="0" w:color="auto"/>
              <w:right w:val="single" w:sz="4" w:space="0" w:color="auto"/>
            </w:tcBorders>
            <w:shd w:val="clear" w:color="auto" w:fill="auto"/>
            <w:vAlign w:val="center"/>
          </w:tcPr>
          <w:p w14:paraId="58FAC061" w14:textId="77777777" w:rsidR="00B54AF4" w:rsidRDefault="00B54AF4" w:rsidP="003B67BE">
            <w:pPr>
              <w:spacing w:after="0" w:line="240" w:lineRule="auto"/>
              <w:jc w:val="center"/>
              <w:rPr>
                <w:b/>
                <w:bCs/>
                <w:sz w:val="20"/>
                <w:szCs w:val="20"/>
              </w:rPr>
            </w:pPr>
          </w:p>
        </w:tc>
        <w:tc>
          <w:tcPr>
            <w:tcW w:w="4037" w:type="pct"/>
            <w:tcBorders>
              <w:top w:val="nil"/>
              <w:left w:val="nil"/>
              <w:bottom w:val="single" w:sz="4" w:space="0" w:color="auto"/>
              <w:right w:val="single" w:sz="4" w:space="0" w:color="auto"/>
            </w:tcBorders>
            <w:shd w:val="clear" w:color="auto" w:fill="auto"/>
            <w:vAlign w:val="center"/>
          </w:tcPr>
          <w:p w14:paraId="26B32E05" w14:textId="77777777" w:rsidR="00B54AF4" w:rsidRPr="00833B7D" w:rsidRDefault="00B54AF4" w:rsidP="00B54AF4">
            <w:pPr>
              <w:spacing w:after="0" w:line="240" w:lineRule="auto"/>
              <w:rPr>
                <w:sz w:val="20"/>
                <w:szCs w:val="20"/>
              </w:rPr>
            </w:pPr>
            <w:r w:rsidRPr="00B54AF4">
              <w:rPr>
                <w:sz w:val="20"/>
                <w:szCs w:val="20"/>
              </w:rPr>
              <w:t xml:space="preserve">La respuesta </w:t>
            </w:r>
            <w:r>
              <w:rPr>
                <w:sz w:val="20"/>
                <w:szCs w:val="20"/>
              </w:rPr>
              <w:t>debe ser</w:t>
            </w:r>
            <w:r w:rsidRPr="00B54AF4">
              <w:rPr>
                <w:sz w:val="20"/>
                <w:szCs w:val="20"/>
              </w:rPr>
              <w:t xml:space="preserve"> actualizada</w:t>
            </w:r>
            <w:r>
              <w:rPr>
                <w:sz w:val="20"/>
                <w:szCs w:val="20"/>
              </w:rPr>
              <w:t>,</w:t>
            </w:r>
            <w:r w:rsidRPr="00B54AF4">
              <w:rPr>
                <w:sz w:val="20"/>
                <w:szCs w:val="20"/>
              </w:rPr>
              <w:t xml:space="preserve"> fundamenta</w:t>
            </w:r>
            <w:r>
              <w:rPr>
                <w:sz w:val="20"/>
                <w:szCs w:val="20"/>
              </w:rPr>
              <w:t>da</w:t>
            </w:r>
            <w:r w:rsidRPr="00B54AF4">
              <w:rPr>
                <w:sz w:val="20"/>
                <w:szCs w:val="20"/>
              </w:rPr>
              <w:t xml:space="preserve"> en los datos más recientes con los que cuenta</w:t>
            </w:r>
            <w:r>
              <w:rPr>
                <w:sz w:val="20"/>
                <w:szCs w:val="20"/>
              </w:rPr>
              <w:t xml:space="preserve"> </w:t>
            </w:r>
            <w:r w:rsidRPr="00B54AF4">
              <w:rPr>
                <w:sz w:val="20"/>
                <w:szCs w:val="20"/>
              </w:rPr>
              <w:t>el sujeto obligado.</w:t>
            </w:r>
          </w:p>
        </w:tc>
      </w:tr>
      <w:tr w:rsidR="00BD6A68" w:rsidRPr="00833B7D" w14:paraId="74E60699" w14:textId="77777777" w:rsidTr="00215DD4">
        <w:trPr>
          <w:trHeight w:val="170"/>
        </w:trPr>
        <w:tc>
          <w:tcPr>
            <w:tcW w:w="192" w:type="pct"/>
            <w:vMerge w:val="restart"/>
            <w:tcBorders>
              <w:top w:val="nil"/>
              <w:left w:val="single" w:sz="4" w:space="0" w:color="auto"/>
              <w:right w:val="single" w:sz="4" w:space="0" w:color="auto"/>
            </w:tcBorders>
            <w:vAlign w:val="center"/>
          </w:tcPr>
          <w:p w14:paraId="6D753F9C" w14:textId="77777777" w:rsidR="00BD6A68" w:rsidRPr="00833B7D" w:rsidRDefault="00BD6A68" w:rsidP="001C699B">
            <w:pPr>
              <w:spacing w:after="0" w:line="240" w:lineRule="auto"/>
              <w:jc w:val="center"/>
              <w:rPr>
                <w:b/>
                <w:bCs/>
                <w:sz w:val="20"/>
                <w:szCs w:val="20"/>
              </w:rPr>
            </w:pPr>
            <w:r>
              <w:rPr>
                <w:b/>
                <w:bCs/>
                <w:sz w:val="20"/>
                <w:szCs w:val="20"/>
              </w:rPr>
              <w:t>4</w:t>
            </w:r>
          </w:p>
        </w:tc>
        <w:tc>
          <w:tcPr>
            <w:tcW w:w="771" w:type="pct"/>
            <w:vMerge w:val="restart"/>
            <w:tcBorders>
              <w:top w:val="nil"/>
              <w:left w:val="single" w:sz="4" w:space="0" w:color="auto"/>
              <w:bottom w:val="single" w:sz="4" w:space="0" w:color="000000"/>
              <w:right w:val="single" w:sz="4" w:space="0" w:color="auto"/>
            </w:tcBorders>
            <w:shd w:val="clear" w:color="auto" w:fill="auto"/>
            <w:vAlign w:val="center"/>
            <w:hideMark/>
          </w:tcPr>
          <w:p w14:paraId="46164898" w14:textId="77777777" w:rsidR="00BD6A68" w:rsidRPr="00833B7D" w:rsidRDefault="00B54AF4" w:rsidP="003B67BE">
            <w:pPr>
              <w:spacing w:after="0" w:line="240" w:lineRule="auto"/>
              <w:jc w:val="center"/>
              <w:rPr>
                <w:b/>
                <w:bCs/>
                <w:sz w:val="20"/>
                <w:szCs w:val="20"/>
              </w:rPr>
            </w:pPr>
            <w:r w:rsidRPr="00833B7D">
              <w:rPr>
                <w:b/>
                <w:bCs/>
                <w:sz w:val="20"/>
                <w:szCs w:val="20"/>
              </w:rPr>
              <w:t>OPORTUNIDAD DE LO RESPONDIDO</w:t>
            </w:r>
          </w:p>
        </w:tc>
        <w:tc>
          <w:tcPr>
            <w:tcW w:w="4037" w:type="pct"/>
            <w:tcBorders>
              <w:top w:val="nil"/>
              <w:left w:val="nil"/>
              <w:bottom w:val="single" w:sz="4" w:space="0" w:color="auto"/>
              <w:right w:val="single" w:sz="4" w:space="0" w:color="auto"/>
            </w:tcBorders>
            <w:shd w:val="clear" w:color="auto" w:fill="auto"/>
            <w:vAlign w:val="center"/>
            <w:hideMark/>
          </w:tcPr>
          <w:p w14:paraId="5FEBD20C" w14:textId="77777777" w:rsidR="00BD6A68" w:rsidRPr="00833B7D" w:rsidRDefault="00606A0F" w:rsidP="001C699B">
            <w:pPr>
              <w:spacing w:after="0" w:line="240" w:lineRule="auto"/>
              <w:rPr>
                <w:sz w:val="20"/>
                <w:szCs w:val="20"/>
              </w:rPr>
            </w:pPr>
            <w:r>
              <w:rPr>
                <w:sz w:val="20"/>
                <w:szCs w:val="20"/>
              </w:rPr>
              <w:t xml:space="preserve">La respuesta </w:t>
            </w:r>
            <w:r w:rsidRPr="00833B7D">
              <w:rPr>
                <w:sz w:val="20"/>
                <w:szCs w:val="20"/>
              </w:rPr>
              <w:t>es oportuna</w:t>
            </w:r>
            <w:r>
              <w:rPr>
                <w:sz w:val="20"/>
                <w:szCs w:val="20"/>
              </w:rPr>
              <w:t xml:space="preserve"> de acuerdo a la situación que sustenta o motiva la presentación</w:t>
            </w:r>
            <w:r w:rsidR="00546637">
              <w:rPr>
                <w:sz w:val="20"/>
                <w:szCs w:val="20"/>
              </w:rPr>
              <w:t xml:space="preserve"> </w:t>
            </w:r>
            <w:r w:rsidR="00546637">
              <w:rPr>
                <w:color w:val="FF0000"/>
                <w:sz w:val="20"/>
                <w:szCs w:val="20"/>
              </w:rPr>
              <w:t>de</w:t>
            </w:r>
            <w:r>
              <w:rPr>
                <w:sz w:val="20"/>
                <w:szCs w:val="20"/>
              </w:rPr>
              <w:t xml:space="preserve"> la PQRSD.</w:t>
            </w:r>
            <w:r w:rsidR="00BD6A68" w:rsidRPr="00833B7D">
              <w:rPr>
                <w:sz w:val="20"/>
                <w:szCs w:val="20"/>
              </w:rPr>
              <w:t xml:space="preserve"> </w:t>
            </w:r>
          </w:p>
        </w:tc>
      </w:tr>
      <w:tr w:rsidR="00BD6A68" w:rsidRPr="00833B7D" w14:paraId="1FD012A7" w14:textId="77777777" w:rsidTr="00215DD4">
        <w:trPr>
          <w:trHeight w:val="170"/>
        </w:trPr>
        <w:tc>
          <w:tcPr>
            <w:tcW w:w="192" w:type="pct"/>
            <w:vMerge/>
            <w:tcBorders>
              <w:left w:val="single" w:sz="4" w:space="0" w:color="auto"/>
              <w:bottom w:val="single" w:sz="4" w:space="0" w:color="000000"/>
              <w:right w:val="single" w:sz="4" w:space="0" w:color="auto"/>
            </w:tcBorders>
            <w:vAlign w:val="center"/>
          </w:tcPr>
          <w:p w14:paraId="37981F88" w14:textId="77777777" w:rsidR="00BD6A68" w:rsidRPr="00833B7D" w:rsidRDefault="00BD6A68" w:rsidP="001C699B">
            <w:pPr>
              <w:spacing w:after="0" w:line="240" w:lineRule="auto"/>
              <w:jc w:val="center"/>
              <w:rPr>
                <w:b/>
                <w:bCs/>
                <w:sz w:val="20"/>
                <w:szCs w:val="20"/>
              </w:rPr>
            </w:pPr>
          </w:p>
        </w:tc>
        <w:tc>
          <w:tcPr>
            <w:tcW w:w="771" w:type="pct"/>
            <w:vMerge/>
            <w:tcBorders>
              <w:top w:val="nil"/>
              <w:left w:val="single" w:sz="4" w:space="0" w:color="auto"/>
              <w:bottom w:val="single" w:sz="4" w:space="0" w:color="000000"/>
              <w:right w:val="single" w:sz="4" w:space="0" w:color="auto"/>
            </w:tcBorders>
            <w:vAlign w:val="center"/>
            <w:hideMark/>
          </w:tcPr>
          <w:p w14:paraId="61FE794C" w14:textId="77777777" w:rsidR="00BD6A68" w:rsidRPr="00833B7D" w:rsidRDefault="00BD6A68" w:rsidP="003B67BE">
            <w:pPr>
              <w:spacing w:after="0" w:line="240" w:lineRule="auto"/>
              <w:jc w:val="center"/>
              <w:rPr>
                <w:b/>
                <w:bCs/>
                <w:sz w:val="20"/>
                <w:szCs w:val="20"/>
              </w:rPr>
            </w:pPr>
          </w:p>
        </w:tc>
        <w:tc>
          <w:tcPr>
            <w:tcW w:w="4037" w:type="pct"/>
            <w:tcBorders>
              <w:top w:val="nil"/>
              <w:left w:val="nil"/>
              <w:bottom w:val="single" w:sz="4" w:space="0" w:color="auto"/>
              <w:right w:val="single" w:sz="4" w:space="0" w:color="auto"/>
            </w:tcBorders>
            <w:shd w:val="clear" w:color="auto" w:fill="auto"/>
            <w:vAlign w:val="center"/>
            <w:hideMark/>
          </w:tcPr>
          <w:p w14:paraId="7A805117" w14:textId="77777777" w:rsidR="009A1F8F" w:rsidRDefault="00C80784" w:rsidP="001C699B">
            <w:pPr>
              <w:spacing w:after="0" w:line="240" w:lineRule="auto"/>
              <w:rPr>
                <w:sz w:val="20"/>
                <w:szCs w:val="20"/>
              </w:rPr>
            </w:pPr>
            <w:r>
              <w:rPr>
                <w:sz w:val="20"/>
                <w:szCs w:val="20"/>
              </w:rPr>
              <w:t>En caso de no poder</w:t>
            </w:r>
            <w:r w:rsidR="00BD6A68" w:rsidRPr="00833B7D">
              <w:rPr>
                <w:sz w:val="20"/>
                <w:szCs w:val="20"/>
              </w:rPr>
              <w:t xml:space="preserve"> dar respuesta en los términos</w:t>
            </w:r>
            <w:r w:rsidR="0021332B">
              <w:rPr>
                <w:sz w:val="20"/>
                <w:szCs w:val="20"/>
              </w:rPr>
              <w:t xml:space="preserve"> establecidos</w:t>
            </w:r>
            <w:r w:rsidR="00BD6A68" w:rsidRPr="00833B7D">
              <w:rPr>
                <w:sz w:val="20"/>
                <w:szCs w:val="20"/>
              </w:rPr>
              <w:t xml:space="preserve">, se aplicó lo establecido en el parágrafo del artículo 14 de la ley </w:t>
            </w:r>
            <w:r w:rsidR="00BD6A68">
              <w:rPr>
                <w:sz w:val="20"/>
                <w:szCs w:val="20"/>
              </w:rPr>
              <w:t>1755 de 2015</w:t>
            </w:r>
            <w:r w:rsidR="001B58BE">
              <w:rPr>
                <w:sz w:val="20"/>
                <w:szCs w:val="20"/>
              </w:rPr>
              <w:t xml:space="preserve">, el cual establece lo siguiente: </w:t>
            </w:r>
          </w:p>
          <w:p w14:paraId="27B3E28F" w14:textId="77777777" w:rsidR="001B58BE" w:rsidRDefault="001B58BE" w:rsidP="001C699B">
            <w:pPr>
              <w:spacing w:after="0" w:line="240" w:lineRule="auto"/>
              <w:rPr>
                <w:sz w:val="20"/>
                <w:szCs w:val="20"/>
              </w:rPr>
            </w:pPr>
          </w:p>
          <w:p w14:paraId="3B073D86" w14:textId="77777777" w:rsidR="00BD6A68" w:rsidRPr="001B58BE" w:rsidRDefault="008D0D32" w:rsidP="001C699B">
            <w:pPr>
              <w:spacing w:after="0" w:line="240" w:lineRule="auto"/>
              <w:rPr>
                <w:sz w:val="16"/>
                <w:szCs w:val="16"/>
              </w:rPr>
            </w:pPr>
            <w:r w:rsidRPr="001B58BE">
              <w:rPr>
                <w:sz w:val="16"/>
                <w:szCs w:val="16"/>
              </w:rPr>
              <w:t xml:space="preserve">“Parágrafo. </w:t>
            </w:r>
            <w:r w:rsidR="009A1F8F" w:rsidRPr="001B58BE">
              <w:rPr>
                <w:sz w:val="16"/>
                <w:szCs w:val="16"/>
              </w:rPr>
              <w:t>Cuando excepcionalmente no fuere posible resolver la petición en los plazos aquí señalados, la autoridad debe</w:t>
            </w:r>
            <w:r w:rsidR="009471B4" w:rsidRPr="001B58BE">
              <w:rPr>
                <w:sz w:val="16"/>
                <w:szCs w:val="16"/>
              </w:rPr>
              <w:t xml:space="preserve"> </w:t>
            </w:r>
            <w:r w:rsidR="009A1F8F" w:rsidRPr="001B58BE">
              <w:rPr>
                <w:sz w:val="16"/>
                <w:szCs w:val="16"/>
              </w:rPr>
              <w:t xml:space="preserve">informar esta circunstancia al interesado, antes del vencimiento del término señalado en la ley expresando los motivos de la demora y señalando a la vez el plazo razonable en que se resolverá o dará respuesta, que no podrá exceder del </w:t>
            </w:r>
            <w:r w:rsidRPr="001B58BE">
              <w:rPr>
                <w:sz w:val="16"/>
                <w:szCs w:val="16"/>
              </w:rPr>
              <w:t>doble del inicialmente previsto”</w:t>
            </w:r>
          </w:p>
        </w:tc>
      </w:tr>
      <w:tr w:rsidR="00BD6A68" w:rsidRPr="00833B7D" w14:paraId="4EF7564B" w14:textId="77777777" w:rsidTr="00215DD4">
        <w:trPr>
          <w:trHeight w:val="170"/>
        </w:trPr>
        <w:tc>
          <w:tcPr>
            <w:tcW w:w="192" w:type="pct"/>
            <w:vMerge w:val="restart"/>
            <w:tcBorders>
              <w:top w:val="nil"/>
              <w:left w:val="single" w:sz="4" w:space="0" w:color="auto"/>
              <w:right w:val="single" w:sz="4" w:space="0" w:color="auto"/>
            </w:tcBorders>
            <w:vAlign w:val="center"/>
          </w:tcPr>
          <w:p w14:paraId="0C684366" w14:textId="77777777" w:rsidR="00BD6A68" w:rsidRPr="00833B7D" w:rsidRDefault="00BD6A68" w:rsidP="001C699B">
            <w:pPr>
              <w:spacing w:after="0" w:line="240" w:lineRule="auto"/>
              <w:jc w:val="center"/>
              <w:rPr>
                <w:b/>
                <w:bCs/>
                <w:sz w:val="20"/>
                <w:szCs w:val="20"/>
              </w:rPr>
            </w:pPr>
            <w:r>
              <w:rPr>
                <w:b/>
                <w:bCs/>
                <w:sz w:val="20"/>
                <w:szCs w:val="20"/>
              </w:rPr>
              <w:t>5</w:t>
            </w:r>
          </w:p>
        </w:tc>
        <w:tc>
          <w:tcPr>
            <w:tcW w:w="771" w:type="pct"/>
            <w:vMerge w:val="restart"/>
            <w:tcBorders>
              <w:top w:val="nil"/>
              <w:left w:val="single" w:sz="4" w:space="0" w:color="auto"/>
              <w:bottom w:val="single" w:sz="4" w:space="0" w:color="000000"/>
              <w:right w:val="single" w:sz="4" w:space="0" w:color="auto"/>
            </w:tcBorders>
            <w:shd w:val="clear" w:color="auto" w:fill="auto"/>
            <w:vAlign w:val="center"/>
            <w:hideMark/>
          </w:tcPr>
          <w:p w14:paraId="16EE5269" w14:textId="77777777" w:rsidR="00BD6A68" w:rsidRPr="0054184F" w:rsidRDefault="00B54AF4" w:rsidP="003B67BE">
            <w:pPr>
              <w:spacing w:after="0" w:line="240" w:lineRule="auto"/>
              <w:jc w:val="center"/>
              <w:rPr>
                <w:b/>
                <w:bCs/>
                <w:sz w:val="20"/>
                <w:szCs w:val="20"/>
              </w:rPr>
            </w:pPr>
            <w:r w:rsidRPr="0054184F">
              <w:rPr>
                <w:b/>
                <w:bCs/>
                <w:sz w:val="20"/>
                <w:szCs w:val="20"/>
              </w:rPr>
              <w:t>INTEGRIDAD EN LA RESPUESTA</w:t>
            </w:r>
          </w:p>
        </w:tc>
        <w:tc>
          <w:tcPr>
            <w:tcW w:w="4037" w:type="pct"/>
            <w:tcBorders>
              <w:top w:val="nil"/>
              <w:left w:val="nil"/>
              <w:bottom w:val="single" w:sz="4" w:space="0" w:color="auto"/>
              <w:right w:val="single" w:sz="4" w:space="0" w:color="auto"/>
            </w:tcBorders>
            <w:shd w:val="clear" w:color="auto" w:fill="auto"/>
            <w:vAlign w:val="center"/>
            <w:hideMark/>
          </w:tcPr>
          <w:p w14:paraId="4FDC3C04" w14:textId="77777777" w:rsidR="00BD6A68" w:rsidRPr="0054184F" w:rsidRDefault="00BD6A68" w:rsidP="00DD6C66">
            <w:pPr>
              <w:spacing w:after="0" w:line="240" w:lineRule="auto"/>
              <w:rPr>
                <w:sz w:val="20"/>
                <w:szCs w:val="20"/>
              </w:rPr>
            </w:pPr>
            <w:r w:rsidRPr="0054184F">
              <w:rPr>
                <w:sz w:val="20"/>
                <w:szCs w:val="20"/>
              </w:rPr>
              <w:t xml:space="preserve">En caso que lo </w:t>
            </w:r>
            <w:r w:rsidR="00C80784" w:rsidRPr="0054184F">
              <w:rPr>
                <w:sz w:val="20"/>
                <w:szCs w:val="20"/>
              </w:rPr>
              <w:t>establecido</w:t>
            </w:r>
            <w:r w:rsidRPr="0054184F">
              <w:rPr>
                <w:sz w:val="20"/>
                <w:szCs w:val="20"/>
              </w:rPr>
              <w:t xml:space="preserve"> por el peticionario</w:t>
            </w:r>
            <w:r w:rsidR="0054184F" w:rsidRPr="0054184F">
              <w:rPr>
                <w:sz w:val="20"/>
                <w:szCs w:val="20"/>
              </w:rPr>
              <w:t>(a)</w:t>
            </w:r>
            <w:r w:rsidR="00DD6C66">
              <w:rPr>
                <w:sz w:val="20"/>
                <w:szCs w:val="20"/>
              </w:rPr>
              <w:t xml:space="preserve"> amerite</w:t>
            </w:r>
            <w:r w:rsidRPr="0054184F">
              <w:rPr>
                <w:sz w:val="20"/>
                <w:szCs w:val="20"/>
              </w:rPr>
              <w:t xml:space="preserve"> la intervención o</w:t>
            </w:r>
            <w:r w:rsidR="0054184F" w:rsidRPr="0054184F">
              <w:rPr>
                <w:sz w:val="20"/>
                <w:szCs w:val="20"/>
              </w:rPr>
              <w:t xml:space="preserve"> conocimiento de otra autoridad</w:t>
            </w:r>
            <w:r w:rsidR="00DD6C66">
              <w:rPr>
                <w:sz w:val="20"/>
                <w:szCs w:val="20"/>
              </w:rPr>
              <w:t>, se debe hacer el traslado a la entidad</w:t>
            </w:r>
            <w:r w:rsidR="00546637">
              <w:rPr>
                <w:sz w:val="20"/>
                <w:szCs w:val="20"/>
              </w:rPr>
              <w:t xml:space="preserve"> </w:t>
            </w:r>
            <w:r w:rsidR="001B0C23">
              <w:rPr>
                <w:color w:val="FF0000"/>
                <w:sz w:val="20"/>
                <w:szCs w:val="20"/>
              </w:rPr>
              <w:t>competente</w:t>
            </w:r>
            <w:r w:rsidR="00DD6C66">
              <w:rPr>
                <w:sz w:val="20"/>
                <w:szCs w:val="20"/>
              </w:rPr>
              <w:t xml:space="preserve"> e informarle al peticionario. </w:t>
            </w:r>
          </w:p>
        </w:tc>
      </w:tr>
      <w:tr w:rsidR="00BD6A68" w:rsidRPr="00833B7D" w14:paraId="1C688537" w14:textId="77777777" w:rsidTr="00215DD4">
        <w:trPr>
          <w:trHeight w:val="170"/>
        </w:trPr>
        <w:tc>
          <w:tcPr>
            <w:tcW w:w="192" w:type="pct"/>
            <w:vMerge/>
            <w:tcBorders>
              <w:left w:val="single" w:sz="4" w:space="0" w:color="auto"/>
              <w:bottom w:val="single" w:sz="4" w:space="0" w:color="000000"/>
              <w:right w:val="single" w:sz="4" w:space="0" w:color="auto"/>
            </w:tcBorders>
          </w:tcPr>
          <w:p w14:paraId="01B66A38" w14:textId="77777777" w:rsidR="00BD6A68" w:rsidRPr="00833B7D" w:rsidRDefault="00BD6A68" w:rsidP="001C699B">
            <w:pPr>
              <w:spacing w:after="0" w:line="240" w:lineRule="auto"/>
              <w:rPr>
                <w:b/>
                <w:bCs/>
                <w:sz w:val="20"/>
                <w:szCs w:val="20"/>
              </w:rPr>
            </w:pPr>
          </w:p>
        </w:tc>
        <w:tc>
          <w:tcPr>
            <w:tcW w:w="771" w:type="pct"/>
            <w:vMerge/>
            <w:tcBorders>
              <w:top w:val="nil"/>
              <w:left w:val="single" w:sz="4" w:space="0" w:color="auto"/>
              <w:bottom w:val="single" w:sz="4" w:space="0" w:color="000000"/>
              <w:right w:val="single" w:sz="4" w:space="0" w:color="auto"/>
            </w:tcBorders>
            <w:vAlign w:val="center"/>
            <w:hideMark/>
          </w:tcPr>
          <w:p w14:paraId="4E159A32" w14:textId="77777777" w:rsidR="00BD6A68" w:rsidRPr="0054184F" w:rsidRDefault="00BD6A68" w:rsidP="001C699B">
            <w:pPr>
              <w:spacing w:after="0" w:line="240" w:lineRule="auto"/>
              <w:rPr>
                <w:b/>
                <w:bCs/>
                <w:sz w:val="20"/>
                <w:szCs w:val="20"/>
              </w:rPr>
            </w:pPr>
          </w:p>
        </w:tc>
        <w:tc>
          <w:tcPr>
            <w:tcW w:w="4037" w:type="pct"/>
            <w:tcBorders>
              <w:top w:val="nil"/>
              <w:left w:val="nil"/>
              <w:bottom w:val="single" w:sz="4" w:space="0" w:color="auto"/>
              <w:right w:val="single" w:sz="4" w:space="0" w:color="auto"/>
            </w:tcBorders>
            <w:shd w:val="clear" w:color="auto" w:fill="auto"/>
            <w:vAlign w:val="center"/>
            <w:hideMark/>
          </w:tcPr>
          <w:p w14:paraId="2DC93E51" w14:textId="77777777" w:rsidR="00BD6A68" w:rsidRPr="0054184F" w:rsidRDefault="00BD6A68" w:rsidP="001C699B">
            <w:pPr>
              <w:spacing w:after="0" w:line="240" w:lineRule="auto"/>
              <w:rPr>
                <w:sz w:val="20"/>
                <w:szCs w:val="20"/>
              </w:rPr>
            </w:pPr>
            <w:r w:rsidRPr="0054184F">
              <w:rPr>
                <w:sz w:val="20"/>
                <w:szCs w:val="20"/>
              </w:rPr>
              <w:t>En los casos en que el peticionario</w:t>
            </w:r>
            <w:r w:rsidR="0054184F">
              <w:rPr>
                <w:sz w:val="20"/>
                <w:szCs w:val="20"/>
              </w:rPr>
              <w:t>(a)</w:t>
            </w:r>
            <w:r w:rsidRPr="0054184F">
              <w:rPr>
                <w:sz w:val="20"/>
                <w:szCs w:val="20"/>
              </w:rPr>
              <w:t xml:space="preserve"> debe remitirse </w:t>
            </w:r>
            <w:r w:rsidR="001B58BE" w:rsidRPr="0054184F">
              <w:rPr>
                <w:sz w:val="20"/>
                <w:szCs w:val="20"/>
              </w:rPr>
              <w:t xml:space="preserve">a otra entidad o </w:t>
            </w:r>
            <w:r w:rsidR="0054184F">
              <w:rPr>
                <w:sz w:val="20"/>
                <w:szCs w:val="20"/>
              </w:rPr>
              <w:t>a una</w:t>
            </w:r>
            <w:r w:rsidR="001B58BE" w:rsidRPr="0054184F">
              <w:rPr>
                <w:sz w:val="20"/>
                <w:szCs w:val="20"/>
              </w:rPr>
              <w:t xml:space="preserve"> oficina</w:t>
            </w:r>
            <w:r w:rsidRPr="0054184F">
              <w:rPr>
                <w:sz w:val="20"/>
                <w:szCs w:val="20"/>
              </w:rPr>
              <w:t xml:space="preserve"> para adelantar el trámite, se le informa claramente </w:t>
            </w:r>
            <w:r w:rsidR="0054184F">
              <w:rPr>
                <w:sz w:val="20"/>
                <w:szCs w:val="20"/>
              </w:rPr>
              <w:t xml:space="preserve">la </w:t>
            </w:r>
            <w:r w:rsidRPr="0054184F">
              <w:rPr>
                <w:sz w:val="20"/>
                <w:szCs w:val="20"/>
              </w:rPr>
              <w:t xml:space="preserve">dirección, </w:t>
            </w:r>
            <w:r w:rsidR="0054184F">
              <w:rPr>
                <w:sz w:val="20"/>
                <w:szCs w:val="20"/>
              </w:rPr>
              <w:t>el teléfono,</w:t>
            </w:r>
            <w:r w:rsidRPr="0054184F">
              <w:rPr>
                <w:sz w:val="20"/>
                <w:szCs w:val="20"/>
              </w:rPr>
              <w:t xml:space="preserve"> horarios de atención</w:t>
            </w:r>
            <w:r w:rsidR="0054184F">
              <w:rPr>
                <w:sz w:val="20"/>
                <w:szCs w:val="20"/>
              </w:rPr>
              <w:t xml:space="preserve"> y correo electrónico. </w:t>
            </w:r>
          </w:p>
        </w:tc>
      </w:tr>
    </w:tbl>
    <w:p w14:paraId="70CB5603" w14:textId="77777777" w:rsidR="003254DD" w:rsidRDefault="003254DD" w:rsidP="001C699B">
      <w:pPr>
        <w:spacing w:after="0" w:line="240" w:lineRule="auto"/>
      </w:pPr>
    </w:p>
    <w:p w14:paraId="43AF926C" w14:textId="77777777" w:rsidR="004D36B5" w:rsidRDefault="00B03E01" w:rsidP="00B03E01">
      <w:pPr>
        <w:pStyle w:val="Ttulo1"/>
        <w:numPr>
          <w:ilvl w:val="0"/>
          <w:numId w:val="1"/>
        </w:numPr>
        <w:spacing w:before="0" w:line="240" w:lineRule="auto"/>
        <w:ind w:left="0"/>
        <w:jc w:val="left"/>
      </w:pPr>
      <w:bookmarkStart w:id="4" w:name="_Toc513124065"/>
      <w:r w:rsidRPr="004D36B5">
        <w:t>MEDICIÓN DE LA CALIDAD</w:t>
      </w:r>
      <w:r>
        <w:t xml:space="preserve"> EN LA RESPUESTA A LAS PQRSD</w:t>
      </w:r>
      <w:bookmarkEnd w:id="4"/>
    </w:p>
    <w:p w14:paraId="41911146" w14:textId="77777777" w:rsidR="00B03E01" w:rsidRDefault="00B03E01" w:rsidP="001C699B">
      <w:pPr>
        <w:spacing w:after="0" w:line="240" w:lineRule="auto"/>
      </w:pPr>
    </w:p>
    <w:p w14:paraId="755094AD" w14:textId="77777777" w:rsidR="00B6026B" w:rsidRDefault="001B0C23" w:rsidP="001C699B">
      <w:pPr>
        <w:spacing w:after="0" w:line="240" w:lineRule="auto"/>
      </w:pPr>
      <w:r>
        <w:t>EL evaluador determina</w:t>
      </w:r>
      <w:r w:rsidR="00B71D5A">
        <w:t xml:space="preserve"> el estado de cumplimiento de los criterios anteriormente identificados para cada una de las PQRSD a analizar, de la siguiente forma: </w:t>
      </w:r>
    </w:p>
    <w:p w14:paraId="2F64A06B" w14:textId="77777777" w:rsidR="00B71D5A" w:rsidRDefault="00B71D5A" w:rsidP="001C699B">
      <w:pPr>
        <w:spacing w:after="0" w:line="240" w:lineRule="auto"/>
      </w:pPr>
    </w:p>
    <w:p w14:paraId="426AEE2E" w14:textId="24799EEC" w:rsidR="008333F7" w:rsidRPr="008333F7" w:rsidRDefault="008333F7" w:rsidP="001C699B">
      <w:pPr>
        <w:pStyle w:val="Descripcin"/>
        <w:spacing w:after="0"/>
        <w:jc w:val="center"/>
        <w:rPr>
          <w:i w:val="0"/>
          <w:color w:val="auto"/>
        </w:rPr>
      </w:pPr>
      <w:bookmarkStart w:id="5" w:name="_Ref477440306"/>
      <w:r w:rsidRPr="008333F7">
        <w:rPr>
          <w:i w:val="0"/>
          <w:color w:val="auto"/>
        </w:rPr>
        <w:t xml:space="preserve">Tabla </w:t>
      </w:r>
      <w:r w:rsidR="003A6E54" w:rsidRPr="008333F7">
        <w:rPr>
          <w:i w:val="0"/>
          <w:color w:val="auto"/>
        </w:rPr>
        <w:fldChar w:fldCharType="begin"/>
      </w:r>
      <w:r w:rsidRPr="008333F7">
        <w:rPr>
          <w:i w:val="0"/>
          <w:color w:val="auto"/>
        </w:rPr>
        <w:instrText xml:space="preserve"> SEQ Tabla \* ARABIC </w:instrText>
      </w:r>
      <w:r w:rsidR="003A6E54" w:rsidRPr="008333F7">
        <w:rPr>
          <w:i w:val="0"/>
          <w:color w:val="auto"/>
        </w:rPr>
        <w:fldChar w:fldCharType="separate"/>
      </w:r>
      <w:r w:rsidR="00815F58">
        <w:rPr>
          <w:i w:val="0"/>
          <w:noProof/>
          <w:color w:val="auto"/>
        </w:rPr>
        <w:t>2</w:t>
      </w:r>
      <w:r w:rsidR="003A6E54" w:rsidRPr="008333F7">
        <w:rPr>
          <w:i w:val="0"/>
          <w:color w:val="auto"/>
        </w:rPr>
        <w:fldChar w:fldCharType="end"/>
      </w:r>
      <w:bookmarkEnd w:id="5"/>
      <w:r w:rsidRPr="008333F7">
        <w:rPr>
          <w:i w:val="0"/>
          <w:color w:val="auto"/>
        </w:rPr>
        <w:t xml:space="preserve">. </w:t>
      </w:r>
      <w:r w:rsidR="00FD6F68">
        <w:rPr>
          <w:i w:val="0"/>
          <w:color w:val="auto"/>
        </w:rPr>
        <w:t>Factores</w:t>
      </w:r>
      <w:r w:rsidRPr="008333F7">
        <w:rPr>
          <w:i w:val="0"/>
          <w:color w:val="auto"/>
        </w:rPr>
        <w:t xml:space="preserve"> de calificación</w:t>
      </w:r>
      <w:r w:rsidR="00085BF2">
        <w:rPr>
          <w:i w:val="0"/>
          <w:color w:val="auto"/>
        </w:rPr>
        <w:t xml:space="preserve"> </w:t>
      </w:r>
      <w:r w:rsidR="00FD6F68">
        <w:rPr>
          <w:i w:val="0"/>
          <w:color w:val="auto"/>
        </w:rPr>
        <w:t xml:space="preserve">y evaluación </w:t>
      </w:r>
      <w:r w:rsidR="00085BF2" w:rsidRPr="00315F7F">
        <w:rPr>
          <w:i w:val="0"/>
          <w:color w:val="auto"/>
        </w:rPr>
        <w:t>de las respuestas a</w:t>
      </w:r>
      <w:r w:rsidR="00085BF2">
        <w:rPr>
          <w:i w:val="0"/>
          <w:color w:val="auto"/>
        </w:rPr>
        <w:t xml:space="preserve"> las PQRSD en </w:t>
      </w:r>
      <w:proofErr w:type="spellStart"/>
      <w:r w:rsidR="00085BF2">
        <w:rPr>
          <w:i w:val="0"/>
          <w:color w:val="auto"/>
        </w:rPr>
        <w:t>MinAmbiente</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
        <w:gridCol w:w="1361"/>
        <w:gridCol w:w="1836"/>
        <w:gridCol w:w="3828"/>
        <w:gridCol w:w="1462"/>
      </w:tblGrid>
      <w:tr w:rsidR="004161ED" w:rsidRPr="00017F15" w14:paraId="68C56FF2" w14:textId="77777777" w:rsidTr="003A1206">
        <w:trPr>
          <w:trHeight w:val="170"/>
          <w:tblHeader/>
        </w:trPr>
        <w:tc>
          <w:tcPr>
            <w:tcW w:w="193" w:type="pct"/>
            <w:shd w:val="clear" w:color="auto" w:fill="A6A6A6" w:themeFill="background1" w:themeFillShade="A6"/>
            <w:vAlign w:val="center"/>
          </w:tcPr>
          <w:p w14:paraId="1B40353A" w14:textId="77777777" w:rsidR="004161ED" w:rsidRPr="00017F15" w:rsidRDefault="004161ED" w:rsidP="003A1206">
            <w:pPr>
              <w:spacing w:after="0" w:line="240" w:lineRule="auto"/>
              <w:jc w:val="center"/>
              <w:rPr>
                <w:b/>
                <w:bCs/>
                <w:sz w:val="18"/>
                <w:szCs w:val="20"/>
              </w:rPr>
            </w:pPr>
            <w:proofErr w:type="spellStart"/>
            <w:r w:rsidRPr="00017F15">
              <w:rPr>
                <w:b/>
                <w:bCs/>
                <w:sz w:val="18"/>
                <w:szCs w:val="20"/>
              </w:rPr>
              <w:t>N°</w:t>
            </w:r>
            <w:proofErr w:type="spellEnd"/>
          </w:p>
        </w:tc>
        <w:tc>
          <w:tcPr>
            <w:tcW w:w="771" w:type="pct"/>
            <w:shd w:val="clear" w:color="auto" w:fill="A6A6A6" w:themeFill="background1" w:themeFillShade="A6"/>
            <w:vAlign w:val="center"/>
            <w:hideMark/>
          </w:tcPr>
          <w:p w14:paraId="0946B5BC" w14:textId="77777777" w:rsidR="004161ED" w:rsidRPr="00017F15" w:rsidRDefault="004161ED" w:rsidP="00BC6B4A">
            <w:pPr>
              <w:spacing w:after="0" w:line="240" w:lineRule="auto"/>
              <w:jc w:val="center"/>
              <w:rPr>
                <w:b/>
                <w:bCs/>
                <w:sz w:val="18"/>
                <w:szCs w:val="20"/>
              </w:rPr>
            </w:pPr>
            <w:r w:rsidRPr="00017F15">
              <w:rPr>
                <w:b/>
                <w:bCs/>
                <w:sz w:val="18"/>
                <w:szCs w:val="20"/>
              </w:rPr>
              <w:t xml:space="preserve">CRITERIO DE EVALUACIÓN </w:t>
            </w:r>
          </w:p>
        </w:tc>
        <w:tc>
          <w:tcPr>
            <w:tcW w:w="1040" w:type="pct"/>
            <w:shd w:val="clear" w:color="auto" w:fill="A6A6A6" w:themeFill="background1" w:themeFillShade="A6"/>
            <w:vAlign w:val="center"/>
            <w:hideMark/>
          </w:tcPr>
          <w:p w14:paraId="78B6A198" w14:textId="77777777" w:rsidR="004161ED" w:rsidRPr="00017F15" w:rsidRDefault="008A75B7" w:rsidP="00BC6B4A">
            <w:pPr>
              <w:spacing w:after="0" w:line="240" w:lineRule="auto"/>
              <w:jc w:val="center"/>
              <w:rPr>
                <w:b/>
                <w:sz w:val="18"/>
                <w:szCs w:val="20"/>
              </w:rPr>
            </w:pPr>
            <w:r w:rsidRPr="00017F15">
              <w:rPr>
                <w:b/>
                <w:sz w:val="18"/>
                <w:szCs w:val="20"/>
              </w:rPr>
              <w:t>PORCENTAJE</w:t>
            </w:r>
            <w:r w:rsidR="004161ED" w:rsidRPr="00017F15">
              <w:rPr>
                <w:b/>
                <w:sz w:val="18"/>
                <w:szCs w:val="20"/>
              </w:rPr>
              <w:t xml:space="preserve"> DE PONDERACIÓN  </w:t>
            </w:r>
          </w:p>
        </w:tc>
        <w:tc>
          <w:tcPr>
            <w:tcW w:w="2168" w:type="pct"/>
            <w:shd w:val="clear" w:color="auto" w:fill="A6A6A6" w:themeFill="background1" w:themeFillShade="A6"/>
            <w:vAlign w:val="center"/>
          </w:tcPr>
          <w:p w14:paraId="11623C2F" w14:textId="77777777" w:rsidR="004161ED" w:rsidRPr="00017F15" w:rsidRDefault="004161ED" w:rsidP="003B67BE">
            <w:pPr>
              <w:spacing w:after="0" w:line="240" w:lineRule="auto"/>
              <w:jc w:val="center"/>
              <w:rPr>
                <w:b/>
                <w:sz w:val="18"/>
                <w:szCs w:val="20"/>
              </w:rPr>
            </w:pPr>
            <w:r w:rsidRPr="00017F15">
              <w:rPr>
                <w:b/>
                <w:sz w:val="18"/>
                <w:szCs w:val="20"/>
              </w:rPr>
              <w:t>FACTORES DE CALIFICACIÓN</w:t>
            </w:r>
          </w:p>
          <w:p w14:paraId="00AB8336" w14:textId="77777777" w:rsidR="004161ED" w:rsidRPr="00017F15" w:rsidRDefault="004161ED" w:rsidP="003B67BE">
            <w:pPr>
              <w:spacing w:after="0" w:line="240" w:lineRule="auto"/>
              <w:jc w:val="center"/>
              <w:rPr>
                <w:b/>
                <w:sz w:val="18"/>
                <w:szCs w:val="20"/>
              </w:rPr>
            </w:pPr>
            <w:r w:rsidRPr="00017F15">
              <w:rPr>
                <w:sz w:val="18"/>
                <w:szCs w:val="20"/>
              </w:rPr>
              <w:t>Para efectos de seguimiento y la elaboración de acciones de mejora. (Rango de 1 a 4 para cada criterio</w:t>
            </w:r>
            <w:r w:rsidR="00CD1621" w:rsidRPr="00017F15">
              <w:rPr>
                <w:sz w:val="18"/>
                <w:szCs w:val="20"/>
              </w:rPr>
              <w:t xml:space="preserve"> excepto el criterio #4</w:t>
            </w:r>
            <w:r w:rsidR="009B59F5" w:rsidRPr="00017F15">
              <w:rPr>
                <w:sz w:val="18"/>
                <w:szCs w:val="20"/>
              </w:rPr>
              <w:t xml:space="preserve"> </w:t>
            </w:r>
            <w:r w:rsidR="004C4BA9" w:rsidRPr="00017F15">
              <w:rPr>
                <w:sz w:val="18"/>
                <w:szCs w:val="20"/>
              </w:rPr>
              <w:t>–</w:t>
            </w:r>
            <w:r w:rsidR="009B59F5" w:rsidRPr="00017F15">
              <w:rPr>
                <w:sz w:val="18"/>
                <w:szCs w:val="20"/>
              </w:rPr>
              <w:t xml:space="preserve"> </w:t>
            </w:r>
            <w:r w:rsidR="004C4BA9" w:rsidRPr="00017F15">
              <w:rPr>
                <w:sz w:val="18"/>
                <w:szCs w:val="20"/>
              </w:rPr>
              <w:t xml:space="preserve">VER </w:t>
            </w:r>
            <w:r w:rsidR="009B59F5" w:rsidRPr="00017F15">
              <w:rPr>
                <w:sz w:val="18"/>
                <w:szCs w:val="20"/>
              </w:rPr>
              <w:t>NOTA 1</w:t>
            </w:r>
            <w:r w:rsidRPr="00017F15">
              <w:rPr>
                <w:sz w:val="18"/>
                <w:szCs w:val="20"/>
              </w:rPr>
              <w:t>)</w:t>
            </w:r>
          </w:p>
        </w:tc>
        <w:tc>
          <w:tcPr>
            <w:tcW w:w="828" w:type="pct"/>
            <w:shd w:val="clear" w:color="auto" w:fill="A6A6A6" w:themeFill="background1" w:themeFillShade="A6"/>
            <w:vAlign w:val="center"/>
          </w:tcPr>
          <w:p w14:paraId="4ED56191" w14:textId="77777777" w:rsidR="004161ED" w:rsidRPr="00017F15" w:rsidRDefault="004161ED" w:rsidP="004161ED">
            <w:pPr>
              <w:spacing w:after="0" w:line="240" w:lineRule="auto"/>
              <w:jc w:val="center"/>
              <w:rPr>
                <w:b/>
                <w:sz w:val="18"/>
                <w:szCs w:val="20"/>
              </w:rPr>
            </w:pPr>
            <w:r w:rsidRPr="00017F15">
              <w:rPr>
                <w:b/>
                <w:sz w:val="18"/>
                <w:szCs w:val="20"/>
              </w:rPr>
              <w:t>EVALUACIÓN DE CUMPLIMIENTO</w:t>
            </w:r>
          </w:p>
          <w:p w14:paraId="6B0CE54B" w14:textId="77777777" w:rsidR="004161ED" w:rsidRPr="00017F15" w:rsidRDefault="004161ED" w:rsidP="004161ED">
            <w:pPr>
              <w:spacing w:after="0" w:line="240" w:lineRule="auto"/>
              <w:jc w:val="center"/>
              <w:rPr>
                <w:b/>
                <w:sz w:val="18"/>
                <w:szCs w:val="20"/>
              </w:rPr>
            </w:pPr>
            <w:r w:rsidRPr="00017F15">
              <w:rPr>
                <w:b/>
                <w:sz w:val="18"/>
                <w:szCs w:val="20"/>
              </w:rPr>
              <w:t>(</w:t>
            </w:r>
            <w:r w:rsidRPr="00017F15">
              <w:rPr>
                <w:sz w:val="18"/>
                <w:szCs w:val="20"/>
              </w:rPr>
              <w:t>para cada criterio</w:t>
            </w:r>
            <w:r w:rsidR="009B59F5" w:rsidRPr="00017F15">
              <w:rPr>
                <w:sz w:val="18"/>
                <w:szCs w:val="20"/>
              </w:rPr>
              <w:t xml:space="preserve"> </w:t>
            </w:r>
            <w:r w:rsidR="004C4BA9" w:rsidRPr="00017F15">
              <w:rPr>
                <w:sz w:val="18"/>
                <w:szCs w:val="20"/>
              </w:rPr>
              <w:t xml:space="preserve">VER </w:t>
            </w:r>
            <w:r w:rsidR="009B59F5" w:rsidRPr="00017F15">
              <w:rPr>
                <w:sz w:val="18"/>
                <w:szCs w:val="20"/>
              </w:rPr>
              <w:t>NOTA 2</w:t>
            </w:r>
            <w:r w:rsidRPr="00017F15">
              <w:rPr>
                <w:sz w:val="18"/>
                <w:szCs w:val="20"/>
              </w:rPr>
              <w:t>)</w:t>
            </w:r>
          </w:p>
        </w:tc>
      </w:tr>
      <w:tr w:rsidR="00DD6C66" w:rsidRPr="00017F15" w14:paraId="7ECF2BA9" w14:textId="77777777" w:rsidTr="00215DD4">
        <w:trPr>
          <w:trHeight w:val="451"/>
        </w:trPr>
        <w:tc>
          <w:tcPr>
            <w:tcW w:w="193" w:type="pct"/>
            <w:tcBorders>
              <w:bottom w:val="single" w:sz="4" w:space="0" w:color="auto"/>
            </w:tcBorders>
            <w:vAlign w:val="center"/>
          </w:tcPr>
          <w:p w14:paraId="796480EF" w14:textId="77777777" w:rsidR="00DD6C66" w:rsidRPr="00017F15" w:rsidRDefault="00DD6C66" w:rsidP="00BC6B4A">
            <w:pPr>
              <w:spacing w:after="0" w:line="240" w:lineRule="auto"/>
              <w:jc w:val="center"/>
              <w:rPr>
                <w:b/>
                <w:bCs/>
                <w:sz w:val="18"/>
                <w:szCs w:val="20"/>
              </w:rPr>
            </w:pPr>
            <w:r w:rsidRPr="00017F15">
              <w:rPr>
                <w:b/>
                <w:bCs/>
                <w:sz w:val="18"/>
                <w:szCs w:val="20"/>
              </w:rPr>
              <w:t>1</w:t>
            </w:r>
          </w:p>
        </w:tc>
        <w:tc>
          <w:tcPr>
            <w:tcW w:w="771" w:type="pct"/>
            <w:tcBorders>
              <w:bottom w:val="single" w:sz="4" w:space="0" w:color="auto"/>
            </w:tcBorders>
            <w:shd w:val="clear" w:color="auto" w:fill="auto"/>
            <w:vAlign w:val="center"/>
            <w:hideMark/>
          </w:tcPr>
          <w:p w14:paraId="1FB351DA" w14:textId="77777777" w:rsidR="00DD6C66" w:rsidRPr="00017F15" w:rsidRDefault="00DD6C66" w:rsidP="004161ED">
            <w:pPr>
              <w:spacing w:after="0" w:line="240" w:lineRule="auto"/>
              <w:jc w:val="center"/>
              <w:rPr>
                <w:b/>
                <w:bCs/>
                <w:sz w:val="18"/>
                <w:szCs w:val="20"/>
              </w:rPr>
            </w:pPr>
            <w:r w:rsidRPr="00017F15">
              <w:rPr>
                <w:b/>
                <w:bCs/>
                <w:sz w:val="18"/>
                <w:szCs w:val="20"/>
              </w:rPr>
              <w:t>RESPUESTA COMPLETA O RESOLUCIÓN DE FONDO</w:t>
            </w:r>
          </w:p>
        </w:tc>
        <w:tc>
          <w:tcPr>
            <w:tcW w:w="1040" w:type="pct"/>
            <w:tcBorders>
              <w:bottom w:val="single" w:sz="4" w:space="0" w:color="auto"/>
            </w:tcBorders>
            <w:shd w:val="clear" w:color="auto" w:fill="auto"/>
            <w:vAlign w:val="center"/>
            <w:hideMark/>
          </w:tcPr>
          <w:p w14:paraId="3D57E9F1" w14:textId="77777777" w:rsidR="00DD6C66" w:rsidRPr="00017F15" w:rsidRDefault="00DD6C66" w:rsidP="004161ED">
            <w:pPr>
              <w:spacing w:after="0" w:line="240" w:lineRule="auto"/>
              <w:jc w:val="center"/>
              <w:rPr>
                <w:sz w:val="18"/>
                <w:szCs w:val="20"/>
              </w:rPr>
            </w:pPr>
            <w:r w:rsidRPr="00017F15">
              <w:rPr>
                <w:sz w:val="18"/>
                <w:szCs w:val="20"/>
              </w:rPr>
              <w:t>40%</w:t>
            </w:r>
          </w:p>
        </w:tc>
        <w:tc>
          <w:tcPr>
            <w:tcW w:w="2168" w:type="pct"/>
            <w:vMerge w:val="restart"/>
            <w:vAlign w:val="center"/>
          </w:tcPr>
          <w:p w14:paraId="70B6A2E8" w14:textId="77777777" w:rsidR="00DD6C66" w:rsidRPr="00017F15" w:rsidRDefault="00DD6C66" w:rsidP="004161ED">
            <w:pPr>
              <w:spacing w:after="0" w:line="240" w:lineRule="auto"/>
              <w:rPr>
                <w:sz w:val="18"/>
                <w:szCs w:val="20"/>
              </w:rPr>
            </w:pPr>
            <w:r w:rsidRPr="00017F15">
              <w:rPr>
                <w:b/>
                <w:sz w:val="18"/>
                <w:szCs w:val="20"/>
              </w:rPr>
              <w:t>Calificación de cuatro (4):</w:t>
            </w:r>
            <w:r w:rsidRPr="00017F15">
              <w:rPr>
                <w:sz w:val="18"/>
                <w:szCs w:val="20"/>
              </w:rPr>
              <w:t xml:space="preserve"> la respuesta emitida cumple con el criterio de evaluación a analizar.</w:t>
            </w:r>
          </w:p>
          <w:p w14:paraId="29948EC0" w14:textId="77777777" w:rsidR="00215DD4" w:rsidRPr="00017F15" w:rsidRDefault="00215DD4" w:rsidP="004161ED">
            <w:pPr>
              <w:spacing w:after="0" w:line="240" w:lineRule="auto"/>
              <w:rPr>
                <w:sz w:val="18"/>
                <w:szCs w:val="20"/>
              </w:rPr>
            </w:pPr>
          </w:p>
          <w:p w14:paraId="433527F4" w14:textId="77777777" w:rsidR="00DD6C66" w:rsidRPr="00017F15" w:rsidRDefault="00DD6C66" w:rsidP="004161ED">
            <w:pPr>
              <w:spacing w:after="0" w:line="240" w:lineRule="auto"/>
              <w:rPr>
                <w:sz w:val="18"/>
                <w:szCs w:val="20"/>
              </w:rPr>
            </w:pPr>
            <w:r w:rsidRPr="00017F15">
              <w:rPr>
                <w:b/>
                <w:sz w:val="18"/>
                <w:szCs w:val="20"/>
              </w:rPr>
              <w:t>Calificación de tres (3):</w:t>
            </w:r>
            <w:r w:rsidRPr="00017F15">
              <w:rPr>
                <w:sz w:val="18"/>
                <w:szCs w:val="20"/>
              </w:rPr>
              <w:t xml:space="preserve"> la respuesta emitida recibe un concepto de cumplimiento positivo, pero conserva la necesidad de elaborar una acción de mejora que propenda el cumplimiento total para el criterio analizado.</w:t>
            </w:r>
          </w:p>
          <w:p w14:paraId="694A8B10" w14:textId="77777777" w:rsidR="00215DD4" w:rsidRPr="00017F15" w:rsidRDefault="00215DD4" w:rsidP="004161ED">
            <w:pPr>
              <w:spacing w:after="0" w:line="240" w:lineRule="auto"/>
              <w:rPr>
                <w:sz w:val="18"/>
                <w:szCs w:val="20"/>
              </w:rPr>
            </w:pPr>
          </w:p>
          <w:p w14:paraId="6BC5D354" w14:textId="77777777" w:rsidR="00DD6C66" w:rsidRPr="00017F15" w:rsidRDefault="00DD6C66" w:rsidP="004161ED">
            <w:pPr>
              <w:spacing w:after="0" w:line="240" w:lineRule="auto"/>
              <w:rPr>
                <w:sz w:val="18"/>
                <w:szCs w:val="20"/>
              </w:rPr>
            </w:pPr>
            <w:r w:rsidRPr="00017F15">
              <w:rPr>
                <w:b/>
                <w:sz w:val="18"/>
                <w:szCs w:val="20"/>
              </w:rPr>
              <w:lastRenderedPageBreak/>
              <w:t>Calificación de dos (2):</w:t>
            </w:r>
            <w:r w:rsidRPr="00017F15">
              <w:rPr>
                <w:sz w:val="18"/>
                <w:szCs w:val="20"/>
              </w:rPr>
              <w:t xml:space="preserve"> la respuesta emitida no cumple los requisitos mínimos para dar cumplimiento según lo establecido para cada criterio.</w:t>
            </w:r>
          </w:p>
          <w:p w14:paraId="1F493AA6" w14:textId="77777777" w:rsidR="00215DD4" w:rsidRPr="00017F15" w:rsidRDefault="00215DD4" w:rsidP="004161ED">
            <w:pPr>
              <w:spacing w:after="0" w:line="240" w:lineRule="auto"/>
              <w:rPr>
                <w:sz w:val="18"/>
                <w:szCs w:val="20"/>
              </w:rPr>
            </w:pPr>
          </w:p>
          <w:p w14:paraId="575BB2F7" w14:textId="77777777" w:rsidR="00DD6C66" w:rsidRPr="00017F15" w:rsidRDefault="00DD6C66" w:rsidP="008E2FBB">
            <w:pPr>
              <w:spacing w:after="0" w:line="240" w:lineRule="auto"/>
              <w:rPr>
                <w:sz w:val="18"/>
                <w:szCs w:val="20"/>
              </w:rPr>
            </w:pPr>
            <w:r w:rsidRPr="00017F15">
              <w:rPr>
                <w:b/>
                <w:sz w:val="18"/>
                <w:szCs w:val="20"/>
              </w:rPr>
              <w:t>Calificación de uno (1):</w:t>
            </w:r>
            <w:r w:rsidRPr="00017F15">
              <w:rPr>
                <w:sz w:val="18"/>
                <w:szCs w:val="20"/>
              </w:rPr>
              <w:t xml:space="preserve"> La respuesta emitida presenta un incumplimiento total, requiere de carácter urgente revisión y replanteamiento de lo respondido.</w:t>
            </w:r>
          </w:p>
        </w:tc>
        <w:tc>
          <w:tcPr>
            <w:tcW w:w="828" w:type="pct"/>
            <w:vMerge w:val="restart"/>
            <w:shd w:val="clear" w:color="auto" w:fill="00B050"/>
            <w:vAlign w:val="center"/>
          </w:tcPr>
          <w:p w14:paraId="73EDA490" w14:textId="77777777" w:rsidR="00DD6C66" w:rsidRPr="00017F15" w:rsidRDefault="00DD6C66" w:rsidP="004161ED">
            <w:pPr>
              <w:spacing w:after="0" w:line="240" w:lineRule="auto"/>
              <w:jc w:val="center"/>
              <w:rPr>
                <w:b/>
                <w:sz w:val="18"/>
                <w:szCs w:val="20"/>
              </w:rPr>
            </w:pPr>
            <w:r w:rsidRPr="00017F15">
              <w:rPr>
                <w:b/>
                <w:sz w:val="18"/>
                <w:szCs w:val="20"/>
              </w:rPr>
              <w:lastRenderedPageBreak/>
              <w:t xml:space="preserve">La calificación 4 y 3 significa que CUMPLE: el porcentaje ponderado final para la petición evaluada es superior o igual al </w:t>
            </w:r>
            <w:r w:rsidRPr="00017F15">
              <w:rPr>
                <w:b/>
                <w:sz w:val="18"/>
                <w:szCs w:val="20"/>
              </w:rPr>
              <w:lastRenderedPageBreak/>
              <w:t xml:space="preserve">65% de cumplimiento. </w:t>
            </w:r>
          </w:p>
        </w:tc>
      </w:tr>
      <w:tr w:rsidR="00DD6C66" w:rsidRPr="00017F15" w14:paraId="1F482E1B" w14:textId="77777777" w:rsidTr="00215DD4">
        <w:trPr>
          <w:trHeight w:val="737"/>
        </w:trPr>
        <w:tc>
          <w:tcPr>
            <w:tcW w:w="193" w:type="pct"/>
            <w:tcBorders>
              <w:bottom w:val="single" w:sz="4" w:space="0" w:color="auto"/>
            </w:tcBorders>
            <w:vAlign w:val="center"/>
          </w:tcPr>
          <w:p w14:paraId="6CCADC44" w14:textId="77777777" w:rsidR="00DD6C66" w:rsidRPr="00017F15" w:rsidRDefault="00DD6C66" w:rsidP="00BC6B4A">
            <w:pPr>
              <w:spacing w:after="0" w:line="240" w:lineRule="auto"/>
              <w:jc w:val="center"/>
              <w:rPr>
                <w:b/>
                <w:bCs/>
                <w:sz w:val="18"/>
                <w:szCs w:val="20"/>
              </w:rPr>
            </w:pPr>
            <w:r w:rsidRPr="00017F15">
              <w:rPr>
                <w:b/>
                <w:bCs/>
                <w:sz w:val="18"/>
                <w:szCs w:val="20"/>
              </w:rPr>
              <w:t>2</w:t>
            </w:r>
          </w:p>
        </w:tc>
        <w:tc>
          <w:tcPr>
            <w:tcW w:w="771" w:type="pct"/>
            <w:tcBorders>
              <w:bottom w:val="single" w:sz="4" w:space="0" w:color="auto"/>
            </w:tcBorders>
            <w:shd w:val="clear" w:color="auto" w:fill="auto"/>
            <w:vAlign w:val="center"/>
            <w:hideMark/>
          </w:tcPr>
          <w:p w14:paraId="3D710FDE" w14:textId="77777777" w:rsidR="00DD6C66" w:rsidRPr="00017F15" w:rsidRDefault="00DD6C66" w:rsidP="004161ED">
            <w:pPr>
              <w:spacing w:after="0" w:line="240" w:lineRule="auto"/>
              <w:jc w:val="center"/>
              <w:rPr>
                <w:b/>
                <w:bCs/>
                <w:sz w:val="18"/>
                <w:szCs w:val="20"/>
              </w:rPr>
            </w:pPr>
            <w:r w:rsidRPr="00017F15">
              <w:rPr>
                <w:b/>
                <w:bCs/>
                <w:sz w:val="18"/>
                <w:szCs w:val="20"/>
              </w:rPr>
              <w:t>RESPUESTA OBJETIVA Y MOTIVADA</w:t>
            </w:r>
          </w:p>
        </w:tc>
        <w:tc>
          <w:tcPr>
            <w:tcW w:w="1040" w:type="pct"/>
            <w:tcBorders>
              <w:bottom w:val="single" w:sz="4" w:space="0" w:color="auto"/>
            </w:tcBorders>
            <w:shd w:val="clear" w:color="auto" w:fill="auto"/>
            <w:vAlign w:val="center"/>
            <w:hideMark/>
          </w:tcPr>
          <w:p w14:paraId="357A9888" w14:textId="77777777" w:rsidR="00DD6C66" w:rsidRPr="00017F15" w:rsidRDefault="00DD6C66" w:rsidP="004161ED">
            <w:pPr>
              <w:spacing w:after="0" w:line="240" w:lineRule="auto"/>
              <w:rPr>
                <w:sz w:val="18"/>
                <w:szCs w:val="20"/>
              </w:rPr>
            </w:pPr>
            <w:r w:rsidRPr="00017F15">
              <w:rPr>
                <w:sz w:val="18"/>
                <w:szCs w:val="20"/>
              </w:rPr>
              <w:t>15% si bien no es aplicable el criterio #5, de lo contrario su porcentaje de ponderación será 10%</w:t>
            </w:r>
          </w:p>
        </w:tc>
        <w:tc>
          <w:tcPr>
            <w:tcW w:w="2168" w:type="pct"/>
            <w:vMerge/>
          </w:tcPr>
          <w:p w14:paraId="3B3A6DED" w14:textId="77777777" w:rsidR="00DD6C66" w:rsidRPr="00017F15" w:rsidRDefault="00DD6C66" w:rsidP="008E2FBB">
            <w:pPr>
              <w:spacing w:after="0" w:line="240" w:lineRule="auto"/>
              <w:rPr>
                <w:sz w:val="18"/>
                <w:szCs w:val="20"/>
              </w:rPr>
            </w:pPr>
          </w:p>
        </w:tc>
        <w:tc>
          <w:tcPr>
            <w:tcW w:w="828" w:type="pct"/>
            <w:vMerge/>
            <w:tcBorders>
              <w:bottom w:val="single" w:sz="4" w:space="0" w:color="auto"/>
            </w:tcBorders>
            <w:shd w:val="clear" w:color="auto" w:fill="00B050"/>
            <w:vAlign w:val="center"/>
          </w:tcPr>
          <w:p w14:paraId="4B97F2BE" w14:textId="77777777" w:rsidR="00DD6C66" w:rsidRPr="00017F15" w:rsidRDefault="00DD6C66" w:rsidP="004161ED">
            <w:pPr>
              <w:spacing w:after="0" w:line="240" w:lineRule="auto"/>
              <w:jc w:val="center"/>
              <w:rPr>
                <w:sz w:val="18"/>
                <w:szCs w:val="20"/>
              </w:rPr>
            </w:pPr>
          </w:p>
        </w:tc>
      </w:tr>
      <w:tr w:rsidR="00DD6C66" w:rsidRPr="00017F15" w14:paraId="6F2DAB66" w14:textId="77777777" w:rsidTr="00215DD4">
        <w:trPr>
          <w:trHeight w:val="928"/>
        </w:trPr>
        <w:tc>
          <w:tcPr>
            <w:tcW w:w="193" w:type="pct"/>
            <w:vAlign w:val="center"/>
          </w:tcPr>
          <w:p w14:paraId="2F1D7570" w14:textId="77777777" w:rsidR="00DD6C66" w:rsidRPr="00017F15" w:rsidRDefault="00DD6C66" w:rsidP="00BC6B4A">
            <w:pPr>
              <w:spacing w:after="0" w:line="240" w:lineRule="auto"/>
              <w:jc w:val="center"/>
              <w:rPr>
                <w:b/>
                <w:bCs/>
                <w:sz w:val="18"/>
                <w:szCs w:val="20"/>
              </w:rPr>
            </w:pPr>
            <w:r w:rsidRPr="00017F15">
              <w:rPr>
                <w:b/>
                <w:bCs/>
                <w:sz w:val="18"/>
                <w:szCs w:val="20"/>
              </w:rPr>
              <w:t>3</w:t>
            </w:r>
          </w:p>
        </w:tc>
        <w:tc>
          <w:tcPr>
            <w:tcW w:w="771" w:type="pct"/>
            <w:shd w:val="clear" w:color="auto" w:fill="auto"/>
            <w:vAlign w:val="center"/>
            <w:hideMark/>
          </w:tcPr>
          <w:p w14:paraId="182F02EF" w14:textId="77777777" w:rsidR="00DD6C66" w:rsidRPr="00017F15" w:rsidRDefault="00DD6C66" w:rsidP="004161ED">
            <w:pPr>
              <w:spacing w:after="0" w:line="240" w:lineRule="auto"/>
              <w:jc w:val="center"/>
              <w:rPr>
                <w:b/>
                <w:bCs/>
                <w:sz w:val="18"/>
                <w:szCs w:val="20"/>
              </w:rPr>
            </w:pPr>
            <w:r w:rsidRPr="00017F15">
              <w:rPr>
                <w:b/>
                <w:bCs/>
                <w:sz w:val="18"/>
                <w:szCs w:val="20"/>
              </w:rPr>
              <w:t>RESPUESTA CLARA Y PRECISA</w:t>
            </w:r>
          </w:p>
        </w:tc>
        <w:tc>
          <w:tcPr>
            <w:tcW w:w="1040" w:type="pct"/>
            <w:shd w:val="clear" w:color="auto" w:fill="auto"/>
            <w:vAlign w:val="center"/>
          </w:tcPr>
          <w:p w14:paraId="5E905BF8" w14:textId="77777777" w:rsidR="00DD6C66" w:rsidRPr="00017F15" w:rsidRDefault="00DD6C66" w:rsidP="004161ED">
            <w:pPr>
              <w:spacing w:after="0" w:line="240" w:lineRule="auto"/>
              <w:rPr>
                <w:sz w:val="18"/>
                <w:szCs w:val="20"/>
              </w:rPr>
            </w:pPr>
            <w:r w:rsidRPr="00017F15">
              <w:rPr>
                <w:sz w:val="18"/>
                <w:szCs w:val="20"/>
              </w:rPr>
              <w:t>15% si bien no es aplicable el criterio #5, de lo contrario su porcentaje de ponderación será 10%</w:t>
            </w:r>
          </w:p>
        </w:tc>
        <w:tc>
          <w:tcPr>
            <w:tcW w:w="2168" w:type="pct"/>
            <w:vMerge/>
          </w:tcPr>
          <w:p w14:paraId="63252E6E" w14:textId="77777777" w:rsidR="00DD6C66" w:rsidRPr="00017F15" w:rsidRDefault="00DD6C66" w:rsidP="008E2FBB">
            <w:pPr>
              <w:spacing w:after="0" w:line="240" w:lineRule="auto"/>
              <w:rPr>
                <w:sz w:val="18"/>
                <w:szCs w:val="20"/>
              </w:rPr>
            </w:pPr>
          </w:p>
        </w:tc>
        <w:tc>
          <w:tcPr>
            <w:tcW w:w="828" w:type="pct"/>
            <w:vMerge w:val="restart"/>
            <w:shd w:val="clear" w:color="auto" w:fill="FF0000"/>
            <w:vAlign w:val="center"/>
          </w:tcPr>
          <w:p w14:paraId="24731D09" w14:textId="77777777" w:rsidR="00DD6C66" w:rsidRPr="00017F15" w:rsidRDefault="00637597" w:rsidP="009B59F5">
            <w:pPr>
              <w:spacing w:after="0" w:line="240" w:lineRule="auto"/>
              <w:jc w:val="center"/>
              <w:rPr>
                <w:b/>
                <w:sz w:val="18"/>
                <w:szCs w:val="20"/>
              </w:rPr>
            </w:pPr>
            <w:r w:rsidRPr="00017F15">
              <w:rPr>
                <w:b/>
                <w:sz w:val="18"/>
                <w:szCs w:val="20"/>
              </w:rPr>
              <w:t xml:space="preserve">La calificación 2 y 1 </w:t>
            </w:r>
            <w:proofErr w:type="spellStart"/>
            <w:r w:rsidRPr="00017F15">
              <w:rPr>
                <w:b/>
                <w:sz w:val="18"/>
                <w:szCs w:val="20"/>
              </w:rPr>
              <w:t>singnifica</w:t>
            </w:r>
            <w:proofErr w:type="spellEnd"/>
            <w:r w:rsidRPr="00017F15">
              <w:rPr>
                <w:b/>
                <w:sz w:val="18"/>
                <w:szCs w:val="20"/>
              </w:rPr>
              <w:t xml:space="preserve"> que </w:t>
            </w:r>
            <w:r w:rsidR="00DD6C66" w:rsidRPr="00017F15">
              <w:rPr>
                <w:b/>
                <w:sz w:val="18"/>
                <w:szCs w:val="20"/>
              </w:rPr>
              <w:t>NO CUMPLE: el porcentaje ponderado final para la petición evaluada es inferior al 65% de cumplimiento.</w:t>
            </w:r>
          </w:p>
        </w:tc>
      </w:tr>
      <w:tr w:rsidR="00DD6C66" w:rsidRPr="00017F15" w14:paraId="0A3A9BE9" w14:textId="77777777" w:rsidTr="00215DD4">
        <w:trPr>
          <w:trHeight w:val="498"/>
        </w:trPr>
        <w:tc>
          <w:tcPr>
            <w:tcW w:w="193" w:type="pct"/>
            <w:vAlign w:val="center"/>
          </w:tcPr>
          <w:p w14:paraId="46154CAF" w14:textId="77777777" w:rsidR="00DD6C66" w:rsidRPr="00017F15" w:rsidRDefault="00DD6C66" w:rsidP="00BC6B4A">
            <w:pPr>
              <w:spacing w:after="0" w:line="240" w:lineRule="auto"/>
              <w:jc w:val="center"/>
              <w:rPr>
                <w:b/>
                <w:bCs/>
                <w:sz w:val="18"/>
                <w:szCs w:val="20"/>
              </w:rPr>
            </w:pPr>
            <w:r w:rsidRPr="00017F15">
              <w:rPr>
                <w:b/>
                <w:bCs/>
                <w:sz w:val="18"/>
                <w:szCs w:val="20"/>
              </w:rPr>
              <w:t>4</w:t>
            </w:r>
          </w:p>
        </w:tc>
        <w:tc>
          <w:tcPr>
            <w:tcW w:w="771" w:type="pct"/>
            <w:shd w:val="clear" w:color="auto" w:fill="auto"/>
            <w:vAlign w:val="center"/>
            <w:hideMark/>
          </w:tcPr>
          <w:p w14:paraId="3A2BAD51" w14:textId="77777777" w:rsidR="00DD6C66" w:rsidRPr="00017F15" w:rsidRDefault="00DD6C66" w:rsidP="004161ED">
            <w:pPr>
              <w:spacing w:after="0" w:line="240" w:lineRule="auto"/>
              <w:jc w:val="center"/>
              <w:rPr>
                <w:b/>
                <w:bCs/>
                <w:sz w:val="18"/>
                <w:szCs w:val="20"/>
              </w:rPr>
            </w:pPr>
            <w:r w:rsidRPr="00017F15">
              <w:rPr>
                <w:b/>
                <w:bCs/>
                <w:sz w:val="18"/>
                <w:szCs w:val="20"/>
              </w:rPr>
              <w:t>OPORTUNIDAD DE LO RESPONDIDO</w:t>
            </w:r>
          </w:p>
        </w:tc>
        <w:tc>
          <w:tcPr>
            <w:tcW w:w="1040" w:type="pct"/>
            <w:shd w:val="clear" w:color="auto" w:fill="auto"/>
            <w:vAlign w:val="center"/>
          </w:tcPr>
          <w:p w14:paraId="38A4CACD" w14:textId="77777777" w:rsidR="00DD6C66" w:rsidRPr="00017F15" w:rsidRDefault="00DD6C66" w:rsidP="004161ED">
            <w:pPr>
              <w:spacing w:after="0" w:line="240" w:lineRule="auto"/>
              <w:jc w:val="center"/>
              <w:rPr>
                <w:sz w:val="18"/>
                <w:szCs w:val="20"/>
              </w:rPr>
            </w:pPr>
            <w:r w:rsidRPr="00017F15">
              <w:rPr>
                <w:sz w:val="18"/>
                <w:szCs w:val="20"/>
              </w:rPr>
              <w:t>30%</w:t>
            </w:r>
          </w:p>
        </w:tc>
        <w:tc>
          <w:tcPr>
            <w:tcW w:w="2168" w:type="pct"/>
            <w:vMerge/>
          </w:tcPr>
          <w:p w14:paraId="2504F42A" w14:textId="77777777" w:rsidR="00DD6C66" w:rsidRPr="00017F15" w:rsidRDefault="00DD6C66" w:rsidP="00BC6B4A">
            <w:pPr>
              <w:spacing w:after="0" w:line="240" w:lineRule="auto"/>
              <w:rPr>
                <w:sz w:val="18"/>
                <w:szCs w:val="20"/>
              </w:rPr>
            </w:pPr>
          </w:p>
        </w:tc>
        <w:tc>
          <w:tcPr>
            <w:tcW w:w="828" w:type="pct"/>
            <w:vMerge/>
            <w:shd w:val="clear" w:color="auto" w:fill="FF0000"/>
          </w:tcPr>
          <w:p w14:paraId="4A17B2FE" w14:textId="77777777" w:rsidR="00DD6C66" w:rsidRPr="00017F15" w:rsidRDefault="00DD6C66" w:rsidP="00BC6B4A">
            <w:pPr>
              <w:spacing w:after="0" w:line="240" w:lineRule="auto"/>
              <w:rPr>
                <w:sz w:val="18"/>
                <w:szCs w:val="20"/>
              </w:rPr>
            </w:pPr>
          </w:p>
        </w:tc>
      </w:tr>
      <w:tr w:rsidR="00DD6C66" w:rsidRPr="00017F15" w14:paraId="53621F24" w14:textId="77777777" w:rsidTr="00215DD4">
        <w:trPr>
          <w:trHeight w:val="60"/>
        </w:trPr>
        <w:tc>
          <w:tcPr>
            <w:tcW w:w="193" w:type="pct"/>
            <w:vAlign w:val="center"/>
          </w:tcPr>
          <w:p w14:paraId="057BE0C3" w14:textId="77777777" w:rsidR="00DD6C66" w:rsidRPr="00017F15" w:rsidRDefault="00DD6C66" w:rsidP="00BC6B4A">
            <w:pPr>
              <w:spacing w:after="0" w:line="240" w:lineRule="auto"/>
              <w:jc w:val="center"/>
              <w:rPr>
                <w:b/>
                <w:bCs/>
                <w:sz w:val="18"/>
                <w:szCs w:val="20"/>
              </w:rPr>
            </w:pPr>
            <w:r w:rsidRPr="00017F15">
              <w:rPr>
                <w:b/>
                <w:bCs/>
                <w:sz w:val="18"/>
                <w:szCs w:val="20"/>
              </w:rPr>
              <w:t>5</w:t>
            </w:r>
          </w:p>
        </w:tc>
        <w:tc>
          <w:tcPr>
            <w:tcW w:w="771" w:type="pct"/>
            <w:shd w:val="clear" w:color="auto" w:fill="auto"/>
            <w:vAlign w:val="center"/>
            <w:hideMark/>
          </w:tcPr>
          <w:p w14:paraId="7C6A4545" w14:textId="77777777" w:rsidR="00DD6C66" w:rsidRPr="00017F15" w:rsidRDefault="00DD6C66" w:rsidP="004161ED">
            <w:pPr>
              <w:spacing w:after="0" w:line="240" w:lineRule="auto"/>
              <w:jc w:val="center"/>
              <w:rPr>
                <w:b/>
                <w:bCs/>
                <w:sz w:val="18"/>
                <w:szCs w:val="20"/>
              </w:rPr>
            </w:pPr>
            <w:r w:rsidRPr="00017F15">
              <w:rPr>
                <w:b/>
                <w:bCs/>
                <w:sz w:val="18"/>
                <w:szCs w:val="20"/>
              </w:rPr>
              <w:t>INTEGRIDAD EN LA RESPUESTA</w:t>
            </w:r>
          </w:p>
        </w:tc>
        <w:tc>
          <w:tcPr>
            <w:tcW w:w="1040" w:type="pct"/>
            <w:shd w:val="clear" w:color="auto" w:fill="auto"/>
            <w:vAlign w:val="center"/>
          </w:tcPr>
          <w:p w14:paraId="13F05D42" w14:textId="77777777" w:rsidR="00DD6C66" w:rsidRPr="00017F15" w:rsidRDefault="00DD6C66" w:rsidP="00DD6C66">
            <w:pPr>
              <w:spacing w:after="0" w:line="240" w:lineRule="auto"/>
              <w:jc w:val="center"/>
              <w:rPr>
                <w:sz w:val="18"/>
                <w:szCs w:val="20"/>
              </w:rPr>
            </w:pPr>
            <w:r w:rsidRPr="00017F15">
              <w:rPr>
                <w:sz w:val="18"/>
                <w:szCs w:val="20"/>
              </w:rPr>
              <w:t>10% (solo aplicable para traslados por competencias)</w:t>
            </w:r>
          </w:p>
        </w:tc>
        <w:tc>
          <w:tcPr>
            <w:tcW w:w="2168" w:type="pct"/>
            <w:vMerge/>
          </w:tcPr>
          <w:p w14:paraId="073663C1" w14:textId="77777777" w:rsidR="00DD6C66" w:rsidRPr="00017F15" w:rsidRDefault="00DD6C66" w:rsidP="00BC6B4A">
            <w:pPr>
              <w:spacing w:after="0" w:line="240" w:lineRule="auto"/>
              <w:rPr>
                <w:sz w:val="18"/>
                <w:szCs w:val="20"/>
              </w:rPr>
            </w:pPr>
          </w:p>
        </w:tc>
        <w:tc>
          <w:tcPr>
            <w:tcW w:w="828" w:type="pct"/>
            <w:vMerge/>
            <w:shd w:val="clear" w:color="auto" w:fill="FF0000"/>
          </w:tcPr>
          <w:p w14:paraId="4C9D8E1F" w14:textId="77777777" w:rsidR="00DD6C66" w:rsidRPr="00017F15" w:rsidRDefault="00DD6C66" w:rsidP="00BC6B4A">
            <w:pPr>
              <w:spacing w:after="0" w:line="240" w:lineRule="auto"/>
              <w:rPr>
                <w:sz w:val="18"/>
                <w:szCs w:val="20"/>
              </w:rPr>
            </w:pPr>
          </w:p>
        </w:tc>
      </w:tr>
    </w:tbl>
    <w:p w14:paraId="765186C9" w14:textId="77777777" w:rsidR="00B06C6C" w:rsidRDefault="00B06C6C" w:rsidP="001C699B">
      <w:pPr>
        <w:spacing w:after="0" w:line="240" w:lineRule="auto"/>
      </w:pPr>
    </w:p>
    <w:p w14:paraId="30ACBDA3" w14:textId="77777777" w:rsidR="00BD6A68" w:rsidRDefault="00CD1621" w:rsidP="001C699B">
      <w:pPr>
        <w:spacing w:after="0" w:line="240" w:lineRule="auto"/>
        <w:rPr>
          <w:b/>
          <w:sz w:val="20"/>
        </w:rPr>
      </w:pPr>
      <w:r w:rsidRPr="00CD1621">
        <w:rPr>
          <w:b/>
          <w:sz w:val="20"/>
        </w:rPr>
        <w:t>NOTA</w:t>
      </w:r>
      <w:r w:rsidR="009B59F5">
        <w:rPr>
          <w:b/>
          <w:sz w:val="20"/>
        </w:rPr>
        <w:t xml:space="preserve"> 1</w:t>
      </w:r>
      <w:r w:rsidRPr="00CD1621">
        <w:rPr>
          <w:b/>
          <w:sz w:val="20"/>
        </w:rPr>
        <w:t xml:space="preserve">: la evaluación del criterio número 4 </w:t>
      </w:r>
      <w:r w:rsidR="004C4BA9">
        <w:rPr>
          <w:b/>
          <w:sz w:val="20"/>
        </w:rPr>
        <w:t>“</w:t>
      </w:r>
      <w:r w:rsidRPr="00CD1621">
        <w:rPr>
          <w:b/>
          <w:sz w:val="20"/>
        </w:rPr>
        <w:t>OPORTUNIDAD DE LO RESPONDIDO</w:t>
      </w:r>
      <w:r w:rsidR="004C4BA9">
        <w:rPr>
          <w:b/>
          <w:sz w:val="20"/>
        </w:rPr>
        <w:t>”</w:t>
      </w:r>
      <w:r w:rsidRPr="00CD1621">
        <w:rPr>
          <w:b/>
          <w:sz w:val="20"/>
        </w:rPr>
        <w:t>, solo puede ser cuantificada como uno (1) cuando la respuesta fue extemporánea, o como cuatro (4) cuando la respuesta se radicó en los tiempos establecidos por ley según el tipo de petición.</w:t>
      </w:r>
    </w:p>
    <w:p w14:paraId="6DF3F05A" w14:textId="77777777" w:rsidR="009B59F5" w:rsidRDefault="009B59F5" w:rsidP="001C699B">
      <w:pPr>
        <w:spacing w:after="0" w:line="240" w:lineRule="auto"/>
        <w:rPr>
          <w:b/>
          <w:sz w:val="20"/>
        </w:rPr>
      </w:pPr>
      <w:r>
        <w:rPr>
          <w:b/>
          <w:sz w:val="20"/>
        </w:rPr>
        <w:t xml:space="preserve">NOTA 2: el cálculo de la evaluación de cumplimiento se realiza efectuando </w:t>
      </w:r>
      <w:r w:rsidR="00417768">
        <w:rPr>
          <w:b/>
          <w:sz w:val="20"/>
        </w:rPr>
        <w:t xml:space="preserve">la sumatoria a </w:t>
      </w:r>
      <w:r>
        <w:rPr>
          <w:b/>
          <w:sz w:val="20"/>
        </w:rPr>
        <w:t xml:space="preserve">una regla de tres básica, utilizando el porcentaje de ponderación y el valor </w:t>
      </w:r>
      <w:r w:rsidR="00417768">
        <w:rPr>
          <w:b/>
          <w:sz w:val="20"/>
        </w:rPr>
        <w:t>numérico</w:t>
      </w:r>
      <w:r>
        <w:rPr>
          <w:b/>
          <w:sz w:val="20"/>
        </w:rPr>
        <w:t xml:space="preserve"> otorgado en los factores de calificación</w:t>
      </w:r>
      <w:r w:rsidR="001242D2">
        <w:rPr>
          <w:b/>
          <w:sz w:val="20"/>
        </w:rPr>
        <w:t>,</w:t>
      </w:r>
      <w:r>
        <w:rPr>
          <w:b/>
          <w:sz w:val="20"/>
        </w:rPr>
        <w:t xml:space="preserve"> de la siguiente forma: </w:t>
      </w:r>
    </w:p>
    <w:p w14:paraId="42589A3E" w14:textId="77777777" w:rsidR="009B59F5" w:rsidRDefault="009B59F5" w:rsidP="001C699B">
      <w:pPr>
        <w:spacing w:after="0" w:line="240" w:lineRule="auto"/>
        <w:rPr>
          <w:b/>
          <w:sz w:val="20"/>
        </w:rPr>
      </w:pPr>
    </w:p>
    <w:p w14:paraId="5C220594" w14:textId="77777777" w:rsidR="009B59F5" w:rsidRPr="00CD1621" w:rsidRDefault="009B59F5" w:rsidP="001C699B">
      <w:pPr>
        <w:spacing w:after="0" w:line="240" w:lineRule="auto"/>
        <w:rPr>
          <w:b/>
          <w:sz w:val="20"/>
        </w:rPr>
      </w:pPr>
      <m:oMathPara>
        <m:oMath>
          <m:r>
            <m:rPr>
              <m:sty m:val="bi"/>
            </m:rPr>
            <w:rPr>
              <w:rFonts w:ascii="Cambria Math" w:hAnsi="Cambria Math"/>
              <w:sz w:val="20"/>
            </w:rPr>
            <m:t>Evaluación de cumplimiento=</m:t>
          </m:r>
          <m:d>
            <m:dPr>
              <m:begChr m:val="⌊"/>
              <m:endChr m:val="⌋"/>
              <m:ctrlPr>
                <w:rPr>
                  <w:rFonts w:ascii="Cambria Math" w:hAnsi="Cambria Math"/>
                  <w:b/>
                  <w:i/>
                  <w:sz w:val="20"/>
                </w:rPr>
              </m:ctrlPr>
            </m:dPr>
            <m:e>
              <m:f>
                <m:fPr>
                  <m:ctrlPr>
                    <w:rPr>
                      <w:rFonts w:ascii="Cambria Math" w:hAnsi="Cambria Math"/>
                      <w:b/>
                      <w:i/>
                      <w:sz w:val="20"/>
                    </w:rPr>
                  </m:ctrlPr>
                </m:fPr>
                <m:num>
                  <m:r>
                    <m:rPr>
                      <m:sty m:val="bi"/>
                    </m:rPr>
                    <w:rPr>
                      <w:rFonts w:ascii="Cambria Math" w:hAnsi="Cambria Math"/>
                      <w:sz w:val="20"/>
                    </w:rPr>
                    <m:t>Factor de calificación ×Porcentaje de ponderación</m:t>
                  </m:r>
                </m:num>
                <m:den>
                  <m:r>
                    <m:rPr>
                      <m:sty m:val="bi"/>
                    </m:rPr>
                    <w:rPr>
                      <w:rFonts w:ascii="Cambria Math" w:hAnsi="Cambria Math"/>
                      <w:sz w:val="20"/>
                    </w:rPr>
                    <m:t>Máximo factor de calificación</m:t>
                  </m:r>
                </m:den>
              </m:f>
            </m:e>
          </m:d>
        </m:oMath>
      </m:oMathPara>
    </w:p>
    <w:p w14:paraId="203CDC6E" w14:textId="77777777" w:rsidR="00B03E01" w:rsidRDefault="00B03E01" w:rsidP="001C699B">
      <w:pPr>
        <w:spacing w:after="0" w:line="240" w:lineRule="auto"/>
      </w:pPr>
    </w:p>
    <w:p w14:paraId="59E11D62" w14:textId="77777777" w:rsidR="00F8489C" w:rsidRDefault="00F8489C" w:rsidP="001C699B">
      <w:pPr>
        <w:spacing w:after="0" w:line="240" w:lineRule="auto"/>
      </w:pPr>
    </w:p>
    <w:p w14:paraId="2C312600" w14:textId="77777777" w:rsidR="009415E0" w:rsidRDefault="00391B49" w:rsidP="00D93B94">
      <w:pPr>
        <w:pStyle w:val="Ttulo1"/>
        <w:numPr>
          <w:ilvl w:val="0"/>
          <w:numId w:val="1"/>
        </w:numPr>
      </w:pPr>
      <w:bookmarkStart w:id="6" w:name="_Toc513124066"/>
      <w:r>
        <w:t xml:space="preserve">DEPENDENCIAS </w:t>
      </w:r>
      <w:r w:rsidR="00553840">
        <w:t>OBJETO DE MEDICIÓN DE LA CALIDAD A LAS RESPUESTAS EMITIDAS</w:t>
      </w:r>
      <w:bookmarkEnd w:id="6"/>
    </w:p>
    <w:p w14:paraId="748B88F7" w14:textId="77777777" w:rsidR="00B03E01" w:rsidRPr="00B03E01" w:rsidRDefault="00B03E01" w:rsidP="00B03E01">
      <w:pPr>
        <w:spacing w:after="0" w:line="240" w:lineRule="auto"/>
        <w:rPr>
          <w:b/>
        </w:rPr>
      </w:pPr>
    </w:p>
    <w:p w14:paraId="0D70A213" w14:textId="77777777" w:rsidR="00815F58" w:rsidRDefault="00553840">
      <w:pPr>
        <w:jc w:val="left"/>
        <w:rPr>
          <w:iCs/>
          <w:sz w:val="18"/>
          <w:szCs w:val="18"/>
        </w:rPr>
      </w:pPr>
      <w:r>
        <w:t>La Unidad Coordinadora para el Gobierno Abierto, en atención a la organización jerárquica e</w:t>
      </w:r>
      <w:r w:rsidR="00391B49">
        <w:t>stablecida para el MADS, realiza</w:t>
      </w:r>
      <w:r>
        <w:t xml:space="preserve"> una distribución de las PQRSD según </w:t>
      </w:r>
      <w:r w:rsidR="00391B49">
        <w:t>la dependencia con sus grupos internos de trabajo</w:t>
      </w:r>
      <w:r>
        <w:t xml:space="preserve">, </w:t>
      </w:r>
      <w:r w:rsidR="008E5E06">
        <w:t>l</w:t>
      </w:r>
      <w:r w:rsidR="00E245D4">
        <w:t xml:space="preserve">a </w:t>
      </w:r>
      <w:r w:rsidR="00391B49">
        <w:fldChar w:fldCharType="begin"/>
      </w:r>
      <w:r w:rsidR="00391B49">
        <w:instrText xml:space="preserve"> REF _Ref513122812 \h </w:instrText>
      </w:r>
      <w:r w:rsidR="00391B49">
        <w:fldChar w:fldCharType="separate"/>
      </w:r>
      <w:r w:rsidR="00815F58">
        <w:rPr>
          <w:i/>
        </w:rPr>
        <w:br w:type="page"/>
      </w:r>
    </w:p>
    <w:p w14:paraId="28126A10" w14:textId="53F98D3C" w:rsidR="00FA34F7" w:rsidRDefault="00815F58" w:rsidP="008E5E06">
      <w:pPr>
        <w:spacing w:after="0" w:line="240" w:lineRule="auto"/>
      </w:pPr>
      <w:r w:rsidRPr="00B74237">
        <w:lastRenderedPageBreak/>
        <w:t xml:space="preserve">Tabla </w:t>
      </w:r>
      <w:r>
        <w:rPr>
          <w:i/>
          <w:noProof/>
        </w:rPr>
        <w:t>3</w:t>
      </w:r>
      <w:r w:rsidR="00391B49">
        <w:fldChar w:fldCharType="end"/>
      </w:r>
      <w:r w:rsidR="00391B49">
        <w:t xml:space="preserve"> </w:t>
      </w:r>
      <w:r w:rsidR="00B74237">
        <w:t xml:space="preserve">presenta </w:t>
      </w:r>
      <w:r w:rsidR="001C3BBC">
        <w:t>la organi</w:t>
      </w:r>
      <w:r w:rsidR="00391B49">
        <w:t>zación bajo la cual se realiza la evaluación y se realiza el envío del reporte considerado en el proceso de medición</w:t>
      </w:r>
      <w:r w:rsidR="00FA34F7">
        <w:t xml:space="preserve"> mediante memorando que requiere respuesta</w:t>
      </w:r>
      <w:r w:rsidR="00391B49">
        <w:t xml:space="preserve">. </w:t>
      </w:r>
    </w:p>
    <w:p w14:paraId="657BA4E1" w14:textId="77777777" w:rsidR="00FA34F7" w:rsidRDefault="00FA34F7" w:rsidP="008E5E06">
      <w:pPr>
        <w:spacing w:after="0" w:line="240" w:lineRule="auto"/>
      </w:pPr>
    </w:p>
    <w:p w14:paraId="53712700" w14:textId="77777777" w:rsidR="005D1699" w:rsidRDefault="00391B49" w:rsidP="008E5E06">
      <w:pPr>
        <w:spacing w:after="0" w:line="240" w:lineRule="auto"/>
      </w:pPr>
      <w:r>
        <w:t xml:space="preserve">Las </w:t>
      </w:r>
      <w:r w:rsidR="00FA34F7">
        <w:t>respuestas</w:t>
      </w:r>
      <w:r>
        <w:t xml:space="preserve"> </w:t>
      </w:r>
      <w:r w:rsidR="00FA34F7">
        <w:t>deberán enviarse a la UCGA mediante memorando</w:t>
      </w:r>
      <w:r w:rsidR="001C3BBC">
        <w:t xml:space="preserve">, en un plazo máximo de 15 días hábiles después de su recepción, determinando las acciones de mejora que crea conveniente si así fuese necesario.   </w:t>
      </w:r>
      <w:r w:rsidR="00085BF2">
        <w:t xml:space="preserve"> </w:t>
      </w:r>
      <w:r w:rsidR="008E5E06">
        <w:t xml:space="preserve"> </w:t>
      </w:r>
    </w:p>
    <w:p w14:paraId="36F20DFB" w14:textId="77777777" w:rsidR="005D1699" w:rsidRDefault="005D1699" w:rsidP="008E5E06">
      <w:pPr>
        <w:spacing w:after="0" w:line="240" w:lineRule="auto"/>
      </w:pPr>
    </w:p>
    <w:p w14:paraId="7F0F2DFF" w14:textId="77777777" w:rsidR="00EE6098" w:rsidRDefault="00EE6098" w:rsidP="008E5E06">
      <w:pPr>
        <w:spacing w:after="0" w:line="240" w:lineRule="auto"/>
      </w:pPr>
      <w:r>
        <w:t xml:space="preserve">El número de expedientes a evaluar, será directamente proporcional al total de las PQRSD que recibió cada uno de los Grupos, Dependencias y Direcciones </w:t>
      </w:r>
      <w:r w:rsidR="004C4BA9">
        <w:t>durante el trimestre a evaluar</w:t>
      </w:r>
      <w:r w:rsidR="006922EB">
        <w:t>, teniendo como muestra mínima dos (2) PQRSD</w:t>
      </w:r>
      <w:r w:rsidR="00D06E19">
        <w:t xml:space="preserve">, </w:t>
      </w:r>
      <w:r w:rsidR="001242D2">
        <w:t xml:space="preserve">de otra forma </w:t>
      </w:r>
      <w:r w:rsidR="00D06E19">
        <w:t xml:space="preserve">si no se recibieron peticiones, se deja </w:t>
      </w:r>
      <w:r w:rsidR="004C4BA9">
        <w:t>la anotación</w:t>
      </w:r>
      <w:r w:rsidR="00D06E19">
        <w:t xml:space="preserve"> y </w:t>
      </w:r>
      <w:r w:rsidR="001242D2">
        <w:t xml:space="preserve">se </w:t>
      </w:r>
      <w:r w:rsidR="00D06E19">
        <w:t>anula la evaluación para ese periodo)</w:t>
      </w:r>
      <w:r w:rsidR="006922EB">
        <w:t xml:space="preserve">. </w:t>
      </w:r>
      <w:r>
        <w:t xml:space="preserve"> </w:t>
      </w:r>
    </w:p>
    <w:p w14:paraId="04648B59" w14:textId="77777777" w:rsidR="00EE6098" w:rsidRDefault="00EE6098" w:rsidP="008E5E06">
      <w:pPr>
        <w:spacing w:after="0" w:line="240" w:lineRule="auto"/>
      </w:pPr>
    </w:p>
    <w:p w14:paraId="2042849D" w14:textId="77777777" w:rsidR="008E5E06" w:rsidRPr="00215DD4" w:rsidRDefault="00215DD4" w:rsidP="008E5E06">
      <w:pPr>
        <w:spacing w:after="0" w:line="240" w:lineRule="auto"/>
        <w:rPr>
          <w:b/>
        </w:rPr>
      </w:pPr>
      <m:oMathPara>
        <m:oMath>
          <m:r>
            <m:rPr>
              <m:sty m:val="bi"/>
            </m:rPr>
            <w:rPr>
              <w:rFonts w:ascii="Cambria Math" w:hAnsi="Cambria Math"/>
            </w:rPr>
            <m:t>PQRSD a evaluar=</m:t>
          </m:r>
          <m:d>
            <m:dPr>
              <m:begChr m:val="⌊"/>
              <m:endChr m:val="⌋"/>
              <m:ctrlPr>
                <w:rPr>
                  <w:rFonts w:ascii="Cambria Math" w:hAnsi="Cambria Math"/>
                  <w:b/>
                  <w:i/>
                </w:rPr>
              </m:ctrlPr>
            </m:dPr>
            <m:e>
              <m:r>
                <m:rPr>
                  <m:sty m:val="bi"/>
                </m:rPr>
                <w:rPr>
                  <w:rFonts w:ascii="Cambria Math" w:hAnsi="Cambria Math"/>
                </w:rPr>
                <m:t>Total de PQRSD recibidas durante el periodo a evaluar*3%</m:t>
              </m:r>
            </m:e>
          </m:d>
        </m:oMath>
      </m:oMathPara>
    </w:p>
    <w:p w14:paraId="32E6461D" w14:textId="77777777" w:rsidR="006922EB" w:rsidRDefault="006922EB" w:rsidP="008E5E06">
      <w:pPr>
        <w:spacing w:after="0" w:line="240" w:lineRule="auto"/>
      </w:pPr>
    </w:p>
    <w:p w14:paraId="471CA086" w14:textId="77777777" w:rsidR="00EE6098" w:rsidRDefault="00EE6098" w:rsidP="001C699B">
      <w:pPr>
        <w:pStyle w:val="Descripcin"/>
        <w:spacing w:after="0"/>
        <w:jc w:val="center"/>
        <w:rPr>
          <w:i w:val="0"/>
          <w:color w:val="auto"/>
        </w:rPr>
      </w:pPr>
      <w:bookmarkStart w:id="7" w:name="_Ref461629679"/>
    </w:p>
    <w:p w14:paraId="3047144A" w14:textId="77777777" w:rsidR="00EE6098" w:rsidRDefault="00EE6098" w:rsidP="001C699B">
      <w:pPr>
        <w:pStyle w:val="Descripcin"/>
        <w:spacing w:after="0"/>
        <w:jc w:val="center"/>
        <w:rPr>
          <w:i w:val="0"/>
          <w:color w:val="auto"/>
        </w:rPr>
      </w:pPr>
    </w:p>
    <w:p w14:paraId="31E22C08" w14:textId="77777777" w:rsidR="00017F15" w:rsidRDefault="00017F15">
      <w:pPr>
        <w:jc w:val="left"/>
        <w:rPr>
          <w:iCs/>
          <w:sz w:val="18"/>
          <w:szCs w:val="18"/>
        </w:rPr>
      </w:pPr>
      <w:bookmarkStart w:id="8" w:name="_Ref513122812"/>
      <w:r>
        <w:rPr>
          <w:i/>
        </w:rPr>
        <w:br w:type="page"/>
      </w:r>
    </w:p>
    <w:p w14:paraId="4CBFFDE1" w14:textId="6C3E507B" w:rsidR="00E245D4" w:rsidRPr="00B74237" w:rsidRDefault="00B74237" w:rsidP="001C699B">
      <w:pPr>
        <w:pStyle w:val="Descripcin"/>
        <w:spacing w:after="0"/>
        <w:jc w:val="center"/>
        <w:rPr>
          <w:i w:val="0"/>
          <w:color w:val="auto"/>
        </w:rPr>
      </w:pPr>
      <w:r w:rsidRPr="00B74237">
        <w:rPr>
          <w:i w:val="0"/>
          <w:color w:val="auto"/>
        </w:rPr>
        <w:lastRenderedPageBreak/>
        <w:t xml:space="preserve">Tabla </w:t>
      </w:r>
      <w:r w:rsidR="003A6E54" w:rsidRPr="00B74237">
        <w:rPr>
          <w:i w:val="0"/>
          <w:color w:val="auto"/>
        </w:rPr>
        <w:fldChar w:fldCharType="begin"/>
      </w:r>
      <w:r w:rsidRPr="00B74237">
        <w:rPr>
          <w:i w:val="0"/>
          <w:color w:val="auto"/>
        </w:rPr>
        <w:instrText xml:space="preserve"> SEQ Tabla \* ARABIC </w:instrText>
      </w:r>
      <w:r w:rsidR="003A6E54" w:rsidRPr="00B74237">
        <w:rPr>
          <w:i w:val="0"/>
          <w:color w:val="auto"/>
        </w:rPr>
        <w:fldChar w:fldCharType="separate"/>
      </w:r>
      <w:r w:rsidR="00815F58">
        <w:rPr>
          <w:i w:val="0"/>
          <w:noProof/>
          <w:color w:val="auto"/>
        </w:rPr>
        <w:t>3</w:t>
      </w:r>
      <w:r w:rsidR="003A6E54" w:rsidRPr="00B74237">
        <w:rPr>
          <w:i w:val="0"/>
          <w:color w:val="auto"/>
        </w:rPr>
        <w:fldChar w:fldCharType="end"/>
      </w:r>
      <w:bookmarkEnd w:id="7"/>
      <w:bookmarkEnd w:id="8"/>
      <w:r w:rsidRPr="00B74237">
        <w:rPr>
          <w:i w:val="0"/>
          <w:color w:val="auto"/>
        </w:rPr>
        <w:t xml:space="preserve">. </w:t>
      </w:r>
      <w:r w:rsidR="001C3BBC">
        <w:rPr>
          <w:i w:val="0"/>
          <w:color w:val="auto"/>
        </w:rPr>
        <w:t>Dependencias a evaluar</w:t>
      </w:r>
    </w:p>
    <w:tbl>
      <w:tblPr>
        <w:tblpPr w:leftFromText="141" w:rightFromText="141" w:vertAnchor="text" w:tblpXSpec="center" w:tblpY="1"/>
        <w:tblOverlap w:val="never"/>
        <w:tblW w:w="37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86"/>
      </w:tblGrid>
      <w:tr w:rsidR="001C3BBC" w:rsidRPr="00AF08EB" w14:paraId="2AAF73B2" w14:textId="77777777" w:rsidTr="001C3BBC">
        <w:trPr>
          <w:trHeight w:val="170"/>
          <w:tblHeader/>
        </w:trPr>
        <w:tc>
          <w:tcPr>
            <w:tcW w:w="5000" w:type="pct"/>
            <w:shd w:val="clear" w:color="000000" w:fill="AEAAAA"/>
            <w:noWrap/>
            <w:vAlign w:val="center"/>
            <w:hideMark/>
          </w:tcPr>
          <w:p w14:paraId="7C7B8BCF" w14:textId="77777777" w:rsidR="001C3BBC" w:rsidRPr="00AF08EB" w:rsidRDefault="001C3BBC" w:rsidP="00AF08EB">
            <w:pPr>
              <w:spacing w:after="0" w:line="240" w:lineRule="auto"/>
              <w:jc w:val="center"/>
              <w:rPr>
                <w:b/>
                <w:bCs/>
                <w:sz w:val="18"/>
                <w:szCs w:val="16"/>
              </w:rPr>
            </w:pPr>
            <w:r w:rsidRPr="00AF08EB">
              <w:rPr>
                <w:b/>
                <w:bCs/>
                <w:sz w:val="18"/>
                <w:szCs w:val="16"/>
              </w:rPr>
              <w:t>DEPENDENCIA</w:t>
            </w:r>
          </w:p>
        </w:tc>
      </w:tr>
      <w:tr w:rsidR="001C3BBC" w:rsidRPr="00AF08EB" w14:paraId="2AE64F21" w14:textId="77777777" w:rsidTr="001C3BBC">
        <w:trPr>
          <w:trHeight w:val="289"/>
        </w:trPr>
        <w:tc>
          <w:tcPr>
            <w:tcW w:w="5000" w:type="pct"/>
            <w:shd w:val="clear" w:color="auto" w:fill="AEAAAA" w:themeFill="background2" w:themeFillShade="BF"/>
            <w:noWrap/>
            <w:vAlign w:val="center"/>
            <w:hideMark/>
          </w:tcPr>
          <w:p w14:paraId="27F631EE" w14:textId="77777777" w:rsidR="001C3BBC" w:rsidRPr="00AF08EB" w:rsidRDefault="001C3BBC" w:rsidP="00AF08EB">
            <w:pPr>
              <w:spacing w:after="0" w:line="240" w:lineRule="auto"/>
              <w:jc w:val="center"/>
              <w:rPr>
                <w:sz w:val="18"/>
                <w:szCs w:val="16"/>
              </w:rPr>
            </w:pPr>
            <w:r w:rsidRPr="00AF08EB">
              <w:rPr>
                <w:b/>
                <w:bCs/>
                <w:sz w:val="18"/>
                <w:szCs w:val="16"/>
              </w:rPr>
              <w:t>DESPACHO DEL MINISTRO</w:t>
            </w:r>
          </w:p>
        </w:tc>
      </w:tr>
      <w:tr w:rsidR="001C3BBC" w:rsidRPr="00AF08EB" w14:paraId="3A293C81" w14:textId="77777777" w:rsidTr="001C3BBC">
        <w:trPr>
          <w:trHeight w:val="170"/>
        </w:trPr>
        <w:tc>
          <w:tcPr>
            <w:tcW w:w="5000" w:type="pct"/>
            <w:shd w:val="clear" w:color="auto" w:fill="auto"/>
            <w:noWrap/>
            <w:vAlign w:val="center"/>
            <w:hideMark/>
          </w:tcPr>
          <w:p w14:paraId="60766C65" w14:textId="77777777" w:rsidR="001C3BBC" w:rsidRPr="00AF08EB" w:rsidRDefault="001C3BBC" w:rsidP="00AF08EB">
            <w:pPr>
              <w:spacing w:after="0" w:line="240" w:lineRule="auto"/>
              <w:rPr>
                <w:sz w:val="18"/>
                <w:szCs w:val="16"/>
              </w:rPr>
            </w:pPr>
            <w:r w:rsidRPr="00AF08EB">
              <w:rPr>
                <w:sz w:val="18"/>
                <w:szCs w:val="16"/>
              </w:rPr>
              <w:t xml:space="preserve">Despacho del </w:t>
            </w:r>
            <w:proofErr w:type="gramStart"/>
            <w:r w:rsidRPr="00AF08EB">
              <w:rPr>
                <w:sz w:val="18"/>
                <w:szCs w:val="16"/>
              </w:rPr>
              <w:t>Ministro</w:t>
            </w:r>
            <w:proofErr w:type="gramEnd"/>
          </w:p>
        </w:tc>
      </w:tr>
      <w:tr w:rsidR="001C3BBC" w:rsidRPr="00AF08EB" w14:paraId="18FA43DD" w14:textId="77777777" w:rsidTr="001C3BBC">
        <w:trPr>
          <w:trHeight w:val="170"/>
        </w:trPr>
        <w:tc>
          <w:tcPr>
            <w:tcW w:w="5000" w:type="pct"/>
            <w:shd w:val="clear" w:color="auto" w:fill="auto"/>
            <w:noWrap/>
            <w:vAlign w:val="center"/>
            <w:hideMark/>
          </w:tcPr>
          <w:p w14:paraId="5B02E439" w14:textId="77777777" w:rsidR="001C3BBC" w:rsidRPr="00AF08EB" w:rsidRDefault="001C3BBC" w:rsidP="00AF08EB">
            <w:pPr>
              <w:spacing w:after="0" w:line="240" w:lineRule="auto"/>
              <w:rPr>
                <w:sz w:val="18"/>
                <w:szCs w:val="16"/>
              </w:rPr>
            </w:pPr>
            <w:r w:rsidRPr="00AF08EB">
              <w:rPr>
                <w:sz w:val="18"/>
                <w:szCs w:val="16"/>
              </w:rPr>
              <w:t xml:space="preserve">Oficina Asesora de Planeación </w:t>
            </w:r>
          </w:p>
        </w:tc>
      </w:tr>
      <w:tr w:rsidR="001C3BBC" w:rsidRPr="00AF08EB" w14:paraId="2606C44A" w14:textId="77777777" w:rsidTr="001C3BBC">
        <w:trPr>
          <w:trHeight w:val="170"/>
        </w:trPr>
        <w:tc>
          <w:tcPr>
            <w:tcW w:w="5000" w:type="pct"/>
            <w:shd w:val="clear" w:color="auto" w:fill="auto"/>
            <w:noWrap/>
            <w:vAlign w:val="center"/>
            <w:hideMark/>
          </w:tcPr>
          <w:p w14:paraId="540A3101" w14:textId="77777777" w:rsidR="001C3BBC" w:rsidRPr="00AF08EB" w:rsidRDefault="001C3BBC" w:rsidP="00AF08EB">
            <w:pPr>
              <w:spacing w:after="0" w:line="240" w:lineRule="auto"/>
              <w:rPr>
                <w:sz w:val="18"/>
                <w:szCs w:val="16"/>
              </w:rPr>
            </w:pPr>
            <w:r w:rsidRPr="00AF08EB">
              <w:rPr>
                <w:sz w:val="18"/>
                <w:szCs w:val="16"/>
              </w:rPr>
              <w:t>Oficina de Control Interno</w:t>
            </w:r>
          </w:p>
        </w:tc>
      </w:tr>
      <w:tr w:rsidR="001C3BBC" w:rsidRPr="00AF08EB" w14:paraId="11BBD5B7" w14:textId="77777777" w:rsidTr="001C3BBC">
        <w:trPr>
          <w:trHeight w:val="170"/>
        </w:trPr>
        <w:tc>
          <w:tcPr>
            <w:tcW w:w="5000" w:type="pct"/>
            <w:shd w:val="clear" w:color="auto" w:fill="auto"/>
            <w:noWrap/>
            <w:vAlign w:val="center"/>
            <w:hideMark/>
          </w:tcPr>
          <w:p w14:paraId="6CA504F3" w14:textId="77777777" w:rsidR="001C3BBC" w:rsidRPr="00AF08EB" w:rsidRDefault="001C3BBC" w:rsidP="00AF08EB">
            <w:pPr>
              <w:spacing w:after="0" w:line="240" w:lineRule="auto"/>
              <w:rPr>
                <w:sz w:val="18"/>
                <w:szCs w:val="16"/>
              </w:rPr>
            </w:pPr>
            <w:r w:rsidRPr="00AF08EB">
              <w:rPr>
                <w:sz w:val="18"/>
                <w:szCs w:val="16"/>
              </w:rPr>
              <w:t>Oficina de Tecnologías de la Información y la Comunicación</w:t>
            </w:r>
          </w:p>
        </w:tc>
      </w:tr>
      <w:tr w:rsidR="001C3BBC" w:rsidRPr="00AF08EB" w14:paraId="743364FB" w14:textId="77777777" w:rsidTr="001C3BBC">
        <w:trPr>
          <w:trHeight w:val="170"/>
        </w:trPr>
        <w:tc>
          <w:tcPr>
            <w:tcW w:w="5000" w:type="pct"/>
            <w:shd w:val="clear" w:color="auto" w:fill="auto"/>
            <w:noWrap/>
            <w:vAlign w:val="center"/>
            <w:hideMark/>
          </w:tcPr>
          <w:p w14:paraId="6E0295A2" w14:textId="77777777" w:rsidR="001C3BBC" w:rsidRPr="00AF08EB" w:rsidRDefault="001C3BBC" w:rsidP="00AF08EB">
            <w:pPr>
              <w:spacing w:after="0" w:line="240" w:lineRule="auto"/>
              <w:rPr>
                <w:sz w:val="18"/>
                <w:szCs w:val="16"/>
              </w:rPr>
            </w:pPr>
            <w:r w:rsidRPr="00AF08EB">
              <w:rPr>
                <w:sz w:val="18"/>
                <w:szCs w:val="16"/>
              </w:rPr>
              <w:t xml:space="preserve">Oficina de Asuntos Internacionales </w:t>
            </w:r>
          </w:p>
        </w:tc>
      </w:tr>
      <w:tr w:rsidR="001C3BBC" w:rsidRPr="00AF08EB" w14:paraId="4534602A" w14:textId="77777777" w:rsidTr="001C3BBC">
        <w:trPr>
          <w:trHeight w:val="170"/>
        </w:trPr>
        <w:tc>
          <w:tcPr>
            <w:tcW w:w="5000" w:type="pct"/>
            <w:shd w:val="clear" w:color="auto" w:fill="auto"/>
            <w:noWrap/>
            <w:vAlign w:val="center"/>
            <w:hideMark/>
          </w:tcPr>
          <w:p w14:paraId="72B5D835" w14:textId="77777777" w:rsidR="001C3BBC" w:rsidRPr="00AF08EB" w:rsidRDefault="001C3BBC" w:rsidP="00AF08EB">
            <w:pPr>
              <w:spacing w:after="0" w:line="240" w:lineRule="auto"/>
              <w:rPr>
                <w:sz w:val="18"/>
                <w:szCs w:val="16"/>
              </w:rPr>
            </w:pPr>
            <w:r w:rsidRPr="00AF08EB">
              <w:rPr>
                <w:sz w:val="18"/>
                <w:szCs w:val="16"/>
              </w:rPr>
              <w:t xml:space="preserve">Oficina de Negocios Verdes y Sostenibles </w:t>
            </w:r>
          </w:p>
        </w:tc>
      </w:tr>
      <w:tr w:rsidR="001C3BBC" w:rsidRPr="00AF08EB" w14:paraId="6B09502A" w14:textId="77777777" w:rsidTr="001C3BBC">
        <w:trPr>
          <w:trHeight w:val="383"/>
        </w:trPr>
        <w:tc>
          <w:tcPr>
            <w:tcW w:w="5000" w:type="pct"/>
            <w:shd w:val="clear" w:color="auto" w:fill="AEAAAA" w:themeFill="background2" w:themeFillShade="BF"/>
            <w:noWrap/>
            <w:vAlign w:val="center"/>
            <w:hideMark/>
          </w:tcPr>
          <w:p w14:paraId="055A0F4A" w14:textId="77777777" w:rsidR="001C3BBC" w:rsidRPr="00AF08EB" w:rsidRDefault="001C3BBC" w:rsidP="00AF08EB">
            <w:pPr>
              <w:spacing w:after="0" w:line="240" w:lineRule="auto"/>
              <w:jc w:val="center"/>
              <w:rPr>
                <w:sz w:val="18"/>
                <w:szCs w:val="16"/>
              </w:rPr>
            </w:pPr>
            <w:r w:rsidRPr="00AF08EB">
              <w:rPr>
                <w:b/>
                <w:bCs/>
                <w:sz w:val="18"/>
                <w:szCs w:val="16"/>
              </w:rPr>
              <w:t>VICE</w:t>
            </w:r>
            <w:r>
              <w:rPr>
                <w:b/>
                <w:bCs/>
                <w:sz w:val="18"/>
                <w:szCs w:val="16"/>
              </w:rPr>
              <w:t xml:space="preserve"> </w:t>
            </w:r>
            <w:r w:rsidRPr="00AF08EB">
              <w:rPr>
                <w:b/>
                <w:bCs/>
                <w:sz w:val="18"/>
                <w:szCs w:val="16"/>
              </w:rPr>
              <w:t>MINISTERIO DE POLÍTICAS Y NORMALIZACIÓN AMBIENTAL</w:t>
            </w:r>
          </w:p>
        </w:tc>
      </w:tr>
      <w:tr w:rsidR="001C3BBC" w:rsidRPr="00AF08EB" w14:paraId="651078BD" w14:textId="77777777" w:rsidTr="001C3BBC">
        <w:trPr>
          <w:trHeight w:val="170"/>
        </w:trPr>
        <w:tc>
          <w:tcPr>
            <w:tcW w:w="5000" w:type="pct"/>
            <w:shd w:val="clear" w:color="auto" w:fill="auto"/>
            <w:noWrap/>
            <w:vAlign w:val="center"/>
            <w:hideMark/>
          </w:tcPr>
          <w:p w14:paraId="5F5543A2" w14:textId="77777777" w:rsidR="001C3BBC" w:rsidRPr="00AF08EB" w:rsidRDefault="001C3BBC" w:rsidP="00AF08EB">
            <w:pPr>
              <w:spacing w:after="0" w:line="240" w:lineRule="auto"/>
              <w:rPr>
                <w:sz w:val="18"/>
                <w:szCs w:val="16"/>
              </w:rPr>
            </w:pPr>
            <w:r w:rsidRPr="00AF08EB">
              <w:rPr>
                <w:sz w:val="18"/>
                <w:szCs w:val="16"/>
              </w:rPr>
              <w:t xml:space="preserve">Despacho del </w:t>
            </w:r>
            <w:r w:rsidR="00FA34F7" w:rsidRPr="00AF08EB">
              <w:rPr>
                <w:sz w:val="18"/>
                <w:szCs w:val="16"/>
              </w:rPr>
              <w:t>Vice</w:t>
            </w:r>
            <w:r w:rsidR="00FA34F7">
              <w:rPr>
                <w:sz w:val="18"/>
                <w:szCs w:val="16"/>
              </w:rPr>
              <w:t>ministerio</w:t>
            </w:r>
            <w:r w:rsidRPr="00AF08EB">
              <w:rPr>
                <w:sz w:val="18"/>
                <w:szCs w:val="16"/>
              </w:rPr>
              <w:t xml:space="preserve"> </w:t>
            </w:r>
          </w:p>
        </w:tc>
      </w:tr>
      <w:tr w:rsidR="001C3BBC" w:rsidRPr="00AF08EB" w14:paraId="2208FE51" w14:textId="77777777" w:rsidTr="001C3BBC">
        <w:trPr>
          <w:trHeight w:val="170"/>
        </w:trPr>
        <w:tc>
          <w:tcPr>
            <w:tcW w:w="5000" w:type="pct"/>
            <w:shd w:val="clear" w:color="auto" w:fill="auto"/>
            <w:noWrap/>
            <w:vAlign w:val="center"/>
            <w:hideMark/>
          </w:tcPr>
          <w:p w14:paraId="43F4D12A" w14:textId="77777777" w:rsidR="001C3BBC" w:rsidRPr="00AF08EB" w:rsidRDefault="001C3BBC" w:rsidP="00AF08EB">
            <w:pPr>
              <w:spacing w:after="0" w:line="240" w:lineRule="auto"/>
              <w:rPr>
                <w:sz w:val="18"/>
                <w:szCs w:val="16"/>
              </w:rPr>
            </w:pPr>
            <w:r w:rsidRPr="00AF08EB">
              <w:rPr>
                <w:sz w:val="18"/>
                <w:szCs w:val="16"/>
              </w:rPr>
              <w:t>Dirección de Asuntos Ambientales Sectorial y Urbana</w:t>
            </w:r>
          </w:p>
        </w:tc>
      </w:tr>
      <w:tr w:rsidR="001C3BBC" w:rsidRPr="00AF08EB" w14:paraId="065A045F" w14:textId="77777777" w:rsidTr="001C3BBC">
        <w:trPr>
          <w:trHeight w:val="170"/>
        </w:trPr>
        <w:tc>
          <w:tcPr>
            <w:tcW w:w="5000" w:type="pct"/>
            <w:shd w:val="clear" w:color="auto" w:fill="auto"/>
            <w:noWrap/>
            <w:vAlign w:val="center"/>
            <w:hideMark/>
          </w:tcPr>
          <w:p w14:paraId="4E113CE5" w14:textId="77777777" w:rsidR="001C3BBC" w:rsidRPr="00AF08EB" w:rsidRDefault="001C3BBC" w:rsidP="00AF08EB">
            <w:pPr>
              <w:spacing w:after="0" w:line="240" w:lineRule="auto"/>
              <w:rPr>
                <w:sz w:val="18"/>
                <w:szCs w:val="16"/>
              </w:rPr>
            </w:pPr>
            <w:r w:rsidRPr="00AF08EB">
              <w:rPr>
                <w:sz w:val="18"/>
                <w:szCs w:val="16"/>
              </w:rPr>
              <w:t>Dirección de Asuntos Marinos Costeros y Recursos Acuáticos</w:t>
            </w:r>
          </w:p>
        </w:tc>
      </w:tr>
      <w:tr w:rsidR="001C3BBC" w:rsidRPr="00AF08EB" w14:paraId="61C60AB1" w14:textId="77777777" w:rsidTr="001C3BBC">
        <w:trPr>
          <w:trHeight w:val="170"/>
        </w:trPr>
        <w:tc>
          <w:tcPr>
            <w:tcW w:w="5000" w:type="pct"/>
            <w:shd w:val="clear" w:color="auto" w:fill="auto"/>
            <w:vAlign w:val="center"/>
            <w:hideMark/>
          </w:tcPr>
          <w:p w14:paraId="4666688F" w14:textId="77777777" w:rsidR="001C3BBC" w:rsidRPr="00AF08EB" w:rsidRDefault="001C3BBC" w:rsidP="00AF08EB">
            <w:pPr>
              <w:spacing w:after="0" w:line="240" w:lineRule="auto"/>
              <w:rPr>
                <w:sz w:val="18"/>
                <w:szCs w:val="16"/>
              </w:rPr>
            </w:pPr>
            <w:r w:rsidRPr="00AF08EB">
              <w:rPr>
                <w:sz w:val="18"/>
                <w:szCs w:val="16"/>
              </w:rPr>
              <w:t>Dirección de Bosques Biodiversidad y Servicios Ecosistémicos</w:t>
            </w:r>
          </w:p>
        </w:tc>
      </w:tr>
      <w:tr w:rsidR="001C3BBC" w:rsidRPr="00AF08EB" w14:paraId="4300F3E9" w14:textId="77777777" w:rsidTr="001C3BBC">
        <w:trPr>
          <w:trHeight w:val="170"/>
        </w:trPr>
        <w:tc>
          <w:tcPr>
            <w:tcW w:w="5000" w:type="pct"/>
            <w:shd w:val="clear" w:color="auto" w:fill="auto"/>
            <w:noWrap/>
            <w:vAlign w:val="center"/>
            <w:hideMark/>
          </w:tcPr>
          <w:p w14:paraId="059512DA" w14:textId="77777777" w:rsidR="001C3BBC" w:rsidRPr="00AF08EB" w:rsidRDefault="001C3BBC" w:rsidP="00AF08EB">
            <w:pPr>
              <w:spacing w:after="0" w:line="240" w:lineRule="auto"/>
              <w:rPr>
                <w:sz w:val="18"/>
                <w:szCs w:val="16"/>
              </w:rPr>
            </w:pPr>
            <w:r w:rsidRPr="00AF08EB">
              <w:rPr>
                <w:sz w:val="18"/>
                <w:szCs w:val="16"/>
              </w:rPr>
              <w:t>Dirección de Gestión Integral del Recurso Hídrico de Ambiente</w:t>
            </w:r>
          </w:p>
        </w:tc>
      </w:tr>
      <w:tr w:rsidR="001C3BBC" w:rsidRPr="00AF08EB" w14:paraId="2EE84386" w14:textId="77777777" w:rsidTr="001C3BBC">
        <w:trPr>
          <w:trHeight w:val="331"/>
        </w:trPr>
        <w:tc>
          <w:tcPr>
            <w:tcW w:w="5000" w:type="pct"/>
            <w:shd w:val="clear" w:color="auto" w:fill="AEAAAA" w:themeFill="background2" w:themeFillShade="BF"/>
            <w:noWrap/>
            <w:vAlign w:val="center"/>
          </w:tcPr>
          <w:p w14:paraId="169A0CC3" w14:textId="77777777" w:rsidR="001C3BBC" w:rsidRPr="00AF08EB" w:rsidRDefault="001C3BBC" w:rsidP="00AF08EB">
            <w:pPr>
              <w:spacing w:after="0" w:line="240" w:lineRule="auto"/>
              <w:jc w:val="center"/>
              <w:rPr>
                <w:sz w:val="18"/>
                <w:szCs w:val="16"/>
              </w:rPr>
            </w:pPr>
            <w:r w:rsidRPr="00AF08EB">
              <w:rPr>
                <w:b/>
                <w:bCs/>
                <w:sz w:val="18"/>
                <w:szCs w:val="16"/>
              </w:rPr>
              <w:t>VICE</w:t>
            </w:r>
            <w:r>
              <w:rPr>
                <w:b/>
                <w:bCs/>
                <w:sz w:val="18"/>
                <w:szCs w:val="16"/>
              </w:rPr>
              <w:t xml:space="preserve"> </w:t>
            </w:r>
            <w:r w:rsidRPr="00AF08EB">
              <w:rPr>
                <w:b/>
                <w:bCs/>
                <w:sz w:val="18"/>
                <w:szCs w:val="16"/>
              </w:rPr>
              <w:t>MINISTERIO DE ORDENAMIENTO AMBIENTAL DEL TERRITORIO</w:t>
            </w:r>
          </w:p>
        </w:tc>
      </w:tr>
      <w:tr w:rsidR="001C3BBC" w:rsidRPr="00AF08EB" w14:paraId="1F6DA879" w14:textId="77777777" w:rsidTr="001C3BBC">
        <w:trPr>
          <w:trHeight w:val="170"/>
        </w:trPr>
        <w:tc>
          <w:tcPr>
            <w:tcW w:w="5000" w:type="pct"/>
            <w:shd w:val="clear" w:color="auto" w:fill="auto"/>
            <w:noWrap/>
            <w:vAlign w:val="center"/>
          </w:tcPr>
          <w:p w14:paraId="1F732560" w14:textId="77777777" w:rsidR="001C3BBC" w:rsidRPr="00AF08EB" w:rsidRDefault="001C3BBC" w:rsidP="00AF08EB">
            <w:pPr>
              <w:spacing w:after="0" w:line="240" w:lineRule="auto"/>
              <w:rPr>
                <w:sz w:val="18"/>
                <w:szCs w:val="16"/>
              </w:rPr>
            </w:pPr>
            <w:r w:rsidRPr="00AF08EB">
              <w:rPr>
                <w:sz w:val="18"/>
                <w:szCs w:val="16"/>
              </w:rPr>
              <w:t>Despacho del Vice</w:t>
            </w:r>
            <w:r w:rsidR="00FA34F7">
              <w:rPr>
                <w:sz w:val="18"/>
                <w:szCs w:val="16"/>
              </w:rPr>
              <w:t>ministerio</w:t>
            </w:r>
          </w:p>
        </w:tc>
      </w:tr>
      <w:tr w:rsidR="001C3BBC" w:rsidRPr="00AF08EB" w14:paraId="037A1837" w14:textId="77777777" w:rsidTr="001C3BBC">
        <w:trPr>
          <w:trHeight w:val="170"/>
        </w:trPr>
        <w:tc>
          <w:tcPr>
            <w:tcW w:w="5000" w:type="pct"/>
            <w:shd w:val="clear" w:color="auto" w:fill="auto"/>
            <w:noWrap/>
            <w:vAlign w:val="center"/>
          </w:tcPr>
          <w:p w14:paraId="4CE4E034" w14:textId="77777777" w:rsidR="001C3BBC" w:rsidRPr="00AF08EB" w:rsidRDefault="001C3BBC" w:rsidP="00AF08EB">
            <w:pPr>
              <w:spacing w:after="0" w:line="240" w:lineRule="auto"/>
              <w:rPr>
                <w:sz w:val="18"/>
                <w:szCs w:val="16"/>
              </w:rPr>
            </w:pPr>
            <w:r w:rsidRPr="00AF08EB">
              <w:rPr>
                <w:sz w:val="18"/>
                <w:szCs w:val="16"/>
              </w:rPr>
              <w:t>Dirección General de Ordenamiento Ambiental Territorial</w:t>
            </w:r>
          </w:p>
        </w:tc>
      </w:tr>
      <w:tr w:rsidR="001C3BBC" w:rsidRPr="00AF08EB" w14:paraId="5428DE45" w14:textId="77777777" w:rsidTr="001C3BBC">
        <w:trPr>
          <w:trHeight w:val="170"/>
        </w:trPr>
        <w:tc>
          <w:tcPr>
            <w:tcW w:w="5000" w:type="pct"/>
            <w:shd w:val="clear" w:color="auto" w:fill="auto"/>
            <w:noWrap/>
            <w:vAlign w:val="center"/>
          </w:tcPr>
          <w:p w14:paraId="7DFFA9FA" w14:textId="77777777" w:rsidR="001C3BBC" w:rsidRPr="00AF08EB" w:rsidRDefault="001C3BBC" w:rsidP="00AF08EB">
            <w:pPr>
              <w:spacing w:after="0" w:line="240" w:lineRule="auto"/>
              <w:rPr>
                <w:sz w:val="18"/>
                <w:szCs w:val="16"/>
              </w:rPr>
            </w:pPr>
            <w:r w:rsidRPr="00AF08EB">
              <w:rPr>
                <w:sz w:val="18"/>
                <w:szCs w:val="16"/>
              </w:rPr>
              <w:t>Subdirección de Educación y Participación</w:t>
            </w:r>
          </w:p>
        </w:tc>
      </w:tr>
      <w:tr w:rsidR="001C3BBC" w:rsidRPr="00AF08EB" w14:paraId="4717042D" w14:textId="77777777" w:rsidTr="001C3BBC">
        <w:trPr>
          <w:trHeight w:val="170"/>
        </w:trPr>
        <w:tc>
          <w:tcPr>
            <w:tcW w:w="5000" w:type="pct"/>
            <w:shd w:val="clear" w:color="auto" w:fill="auto"/>
            <w:noWrap/>
            <w:vAlign w:val="center"/>
          </w:tcPr>
          <w:p w14:paraId="3EE3E00C" w14:textId="77777777" w:rsidR="001C3BBC" w:rsidRPr="00AF08EB" w:rsidRDefault="001C3BBC" w:rsidP="00AF08EB">
            <w:pPr>
              <w:spacing w:after="0" w:line="240" w:lineRule="auto"/>
              <w:rPr>
                <w:sz w:val="18"/>
                <w:szCs w:val="16"/>
              </w:rPr>
            </w:pPr>
            <w:r w:rsidRPr="00AF08EB">
              <w:rPr>
                <w:sz w:val="18"/>
                <w:szCs w:val="16"/>
              </w:rPr>
              <w:t>Dirección de Cambio Climático</w:t>
            </w:r>
          </w:p>
        </w:tc>
      </w:tr>
      <w:tr w:rsidR="001C3BBC" w:rsidRPr="00AF08EB" w14:paraId="241BE6DF" w14:textId="77777777" w:rsidTr="001C3BBC">
        <w:trPr>
          <w:trHeight w:val="260"/>
        </w:trPr>
        <w:tc>
          <w:tcPr>
            <w:tcW w:w="5000" w:type="pct"/>
            <w:shd w:val="clear" w:color="auto" w:fill="AEAAAA" w:themeFill="background2" w:themeFillShade="BF"/>
            <w:noWrap/>
            <w:vAlign w:val="center"/>
          </w:tcPr>
          <w:p w14:paraId="590807B1" w14:textId="77777777" w:rsidR="001C3BBC" w:rsidRPr="00AF08EB" w:rsidRDefault="001C3BBC" w:rsidP="00AF08EB">
            <w:pPr>
              <w:spacing w:after="0" w:line="240" w:lineRule="auto"/>
              <w:jc w:val="center"/>
              <w:rPr>
                <w:sz w:val="18"/>
                <w:szCs w:val="16"/>
              </w:rPr>
            </w:pPr>
            <w:r w:rsidRPr="00AF08EB">
              <w:rPr>
                <w:b/>
                <w:bCs/>
                <w:sz w:val="18"/>
                <w:szCs w:val="16"/>
              </w:rPr>
              <w:t>SECRETARIA GENERAL</w:t>
            </w:r>
          </w:p>
        </w:tc>
      </w:tr>
      <w:tr w:rsidR="001C3BBC" w:rsidRPr="00AF08EB" w14:paraId="62882C5F" w14:textId="77777777" w:rsidTr="001C3BBC">
        <w:trPr>
          <w:trHeight w:val="139"/>
        </w:trPr>
        <w:tc>
          <w:tcPr>
            <w:tcW w:w="5000" w:type="pct"/>
            <w:shd w:val="clear" w:color="auto" w:fill="auto"/>
            <w:noWrap/>
            <w:vAlign w:val="center"/>
          </w:tcPr>
          <w:p w14:paraId="5D74BD1F" w14:textId="77777777" w:rsidR="001C3BBC" w:rsidRPr="00AF08EB" w:rsidRDefault="001C3BBC" w:rsidP="00AF08EB">
            <w:pPr>
              <w:spacing w:after="0" w:line="240" w:lineRule="auto"/>
              <w:rPr>
                <w:sz w:val="18"/>
                <w:szCs w:val="16"/>
              </w:rPr>
            </w:pPr>
            <w:r w:rsidRPr="00AF08EB">
              <w:rPr>
                <w:sz w:val="18"/>
                <w:szCs w:val="16"/>
              </w:rPr>
              <w:t xml:space="preserve">Despacho </w:t>
            </w:r>
            <w:proofErr w:type="gramStart"/>
            <w:r w:rsidRPr="00AF08EB">
              <w:rPr>
                <w:sz w:val="18"/>
                <w:szCs w:val="16"/>
              </w:rPr>
              <w:t>Secretaria General</w:t>
            </w:r>
            <w:proofErr w:type="gramEnd"/>
            <w:r w:rsidRPr="00AF08EB">
              <w:rPr>
                <w:sz w:val="18"/>
                <w:szCs w:val="16"/>
              </w:rPr>
              <w:t xml:space="preserve"> </w:t>
            </w:r>
          </w:p>
        </w:tc>
      </w:tr>
      <w:tr w:rsidR="001C3BBC" w:rsidRPr="00AF08EB" w14:paraId="336ACF0F" w14:textId="77777777" w:rsidTr="001C3BBC">
        <w:trPr>
          <w:trHeight w:val="70"/>
        </w:trPr>
        <w:tc>
          <w:tcPr>
            <w:tcW w:w="5000" w:type="pct"/>
            <w:shd w:val="clear" w:color="auto" w:fill="auto"/>
            <w:noWrap/>
            <w:vAlign w:val="center"/>
          </w:tcPr>
          <w:p w14:paraId="1D1B17BF" w14:textId="77777777" w:rsidR="001C3BBC" w:rsidRPr="00AF08EB" w:rsidRDefault="001C3BBC" w:rsidP="00AF08EB">
            <w:pPr>
              <w:spacing w:after="0" w:line="240" w:lineRule="auto"/>
              <w:rPr>
                <w:sz w:val="18"/>
                <w:szCs w:val="16"/>
              </w:rPr>
            </w:pPr>
            <w:r w:rsidRPr="00AF08EB">
              <w:rPr>
                <w:sz w:val="18"/>
                <w:szCs w:val="16"/>
              </w:rPr>
              <w:t>Grupo de Comunicaciones</w:t>
            </w:r>
          </w:p>
        </w:tc>
      </w:tr>
      <w:tr w:rsidR="001C3BBC" w:rsidRPr="00AF08EB" w14:paraId="53AF75F5" w14:textId="77777777" w:rsidTr="001C3BBC">
        <w:trPr>
          <w:trHeight w:val="64"/>
        </w:trPr>
        <w:tc>
          <w:tcPr>
            <w:tcW w:w="5000" w:type="pct"/>
            <w:shd w:val="clear" w:color="auto" w:fill="auto"/>
            <w:noWrap/>
            <w:vAlign w:val="center"/>
          </w:tcPr>
          <w:p w14:paraId="23962FAB" w14:textId="77777777" w:rsidR="001C3BBC" w:rsidRPr="00AF08EB" w:rsidRDefault="001C3BBC" w:rsidP="00AF08EB">
            <w:pPr>
              <w:spacing w:after="0" w:line="240" w:lineRule="auto"/>
              <w:rPr>
                <w:sz w:val="18"/>
                <w:szCs w:val="16"/>
              </w:rPr>
            </w:pPr>
            <w:r w:rsidRPr="00AF08EB">
              <w:rPr>
                <w:sz w:val="18"/>
                <w:szCs w:val="16"/>
              </w:rPr>
              <w:t>Grupo Contratos</w:t>
            </w:r>
          </w:p>
        </w:tc>
      </w:tr>
      <w:tr w:rsidR="001C3BBC" w:rsidRPr="00AF08EB" w14:paraId="60D4DB96" w14:textId="77777777" w:rsidTr="001C3BBC">
        <w:trPr>
          <w:trHeight w:val="64"/>
        </w:trPr>
        <w:tc>
          <w:tcPr>
            <w:tcW w:w="5000" w:type="pct"/>
            <w:shd w:val="clear" w:color="auto" w:fill="auto"/>
            <w:noWrap/>
            <w:vAlign w:val="center"/>
          </w:tcPr>
          <w:p w14:paraId="0D4D12BF" w14:textId="77777777" w:rsidR="001C3BBC" w:rsidRPr="00AF08EB" w:rsidRDefault="001C3BBC" w:rsidP="00AF08EB">
            <w:pPr>
              <w:spacing w:after="0" w:line="240" w:lineRule="auto"/>
              <w:rPr>
                <w:sz w:val="18"/>
                <w:szCs w:val="16"/>
              </w:rPr>
            </w:pPr>
            <w:r w:rsidRPr="00AF08EB">
              <w:rPr>
                <w:sz w:val="18"/>
                <w:szCs w:val="16"/>
              </w:rPr>
              <w:t>Unidad Coordinadora para el Gobierno Abierto</w:t>
            </w:r>
          </w:p>
        </w:tc>
      </w:tr>
      <w:tr w:rsidR="001C3BBC" w:rsidRPr="00AF08EB" w14:paraId="4B3B1740" w14:textId="77777777" w:rsidTr="001C3BBC">
        <w:trPr>
          <w:trHeight w:val="64"/>
        </w:trPr>
        <w:tc>
          <w:tcPr>
            <w:tcW w:w="5000" w:type="pct"/>
            <w:shd w:val="clear" w:color="auto" w:fill="auto"/>
            <w:noWrap/>
            <w:vAlign w:val="center"/>
          </w:tcPr>
          <w:p w14:paraId="60F8FE27" w14:textId="77777777" w:rsidR="001C3BBC" w:rsidRPr="00AF08EB" w:rsidRDefault="001C3BBC" w:rsidP="00AF08EB">
            <w:pPr>
              <w:spacing w:after="0" w:line="240" w:lineRule="auto"/>
              <w:rPr>
                <w:sz w:val="18"/>
                <w:szCs w:val="16"/>
              </w:rPr>
            </w:pPr>
            <w:r w:rsidRPr="00AF08EB">
              <w:rPr>
                <w:sz w:val="18"/>
                <w:szCs w:val="16"/>
              </w:rPr>
              <w:t>Grupo de Contabilidad y Cuentas</w:t>
            </w:r>
          </w:p>
        </w:tc>
      </w:tr>
      <w:tr w:rsidR="001C3BBC" w:rsidRPr="00AF08EB" w14:paraId="246B3CDA" w14:textId="77777777" w:rsidTr="001C3BBC">
        <w:trPr>
          <w:trHeight w:val="64"/>
        </w:trPr>
        <w:tc>
          <w:tcPr>
            <w:tcW w:w="5000" w:type="pct"/>
            <w:shd w:val="clear" w:color="auto" w:fill="auto"/>
            <w:noWrap/>
            <w:vAlign w:val="center"/>
          </w:tcPr>
          <w:p w14:paraId="34F7E078" w14:textId="77777777" w:rsidR="001C3BBC" w:rsidRPr="00AF08EB" w:rsidRDefault="001C3BBC" w:rsidP="00AF08EB">
            <w:pPr>
              <w:spacing w:after="0" w:line="240" w:lineRule="auto"/>
              <w:rPr>
                <w:sz w:val="18"/>
                <w:szCs w:val="16"/>
              </w:rPr>
            </w:pPr>
            <w:r w:rsidRPr="00AF08EB">
              <w:rPr>
                <w:sz w:val="18"/>
                <w:szCs w:val="16"/>
              </w:rPr>
              <w:t>Grupo de Presupuesto</w:t>
            </w:r>
          </w:p>
        </w:tc>
      </w:tr>
      <w:tr w:rsidR="001C3BBC" w:rsidRPr="00AF08EB" w14:paraId="42806734" w14:textId="77777777" w:rsidTr="001C3BBC">
        <w:trPr>
          <w:trHeight w:val="99"/>
        </w:trPr>
        <w:tc>
          <w:tcPr>
            <w:tcW w:w="5000" w:type="pct"/>
            <w:shd w:val="clear" w:color="auto" w:fill="auto"/>
            <w:noWrap/>
            <w:vAlign w:val="center"/>
          </w:tcPr>
          <w:p w14:paraId="410A4831" w14:textId="77777777" w:rsidR="001C3BBC" w:rsidRPr="00AF08EB" w:rsidRDefault="001C3BBC" w:rsidP="00AF08EB">
            <w:pPr>
              <w:spacing w:after="0" w:line="240" w:lineRule="auto"/>
              <w:rPr>
                <w:sz w:val="18"/>
                <w:szCs w:val="16"/>
              </w:rPr>
            </w:pPr>
            <w:r w:rsidRPr="00AF08EB">
              <w:rPr>
                <w:sz w:val="18"/>
                <w:szCs w:val="16"/>
              </w:rPr>
              <w:t>Grupo de Tesorería</w:t>
            </w:r>
          </w:p>
        </w:tc>
      </w:tr>
      <w:tr w:rsidR="001C3BBC" w:rsidRPr="00AF08EB" w14:paraId="5BEDE0D9" w14:textId="77777777" w:rsidTr="001C3BBC">
        <w:trPr>
          <w:trHeight w:val="64"/>
        </w:trPr>
        <w:tc>
          <w:tcPr>
            <w:tcW w:w="5000" w:type="pct"/>
            <w:shd w:val="clear" w:color="auto" w:fill="auto"/>
            <w:noWrap/>
            <w:vAlign w:val="center"/>
          </w:tcPr>
          <w:p w14:paraId="530402D7" w14:textId="77777777" w:rsidR="001C3BBC" w:rsidRPr="00AF08EB" w:rsidRDefault="001C3BBC" w:rsidP="00AF08EB">
            <w:pPr>
              <w:spacing w:after="0" w:line="240" w:lineRule="auto"/>
              <w:rPr>
                <w:sz w:val="18"/>
                <w:szCs w:val="16"/>
              </w:rPr>
            </w:pPr>
            <w:r w:rsidRPr="00AF08EB">
              <w:rPr>
                <w:sz w:val="18"/>
                <w:szCs w:val="16"/>
              </w:rPr>
              <w:t>Grupo de Control Interno Disciplinario</w:t>
            </w:r>
          </w:p>
        </w:tc>
      </w:tr>
      <w:tr w:rsidR="001C3BBC" w:rsidRPr="00AF08EB" w14:paraId="2566BF61" w14:textId="77777777" w:rsidTr="001C3BBC">
        <w:trPr>
          <w:trHeight w:val="64"/>
        </w:trPr>
        <w:tc>
          <w:tcPr>
            <w:tcW w:w="5000" w:type="pct"/>
            <w:shd w:val="clear" w:color="auto" w:fill="auto"/>
            <w:noWrap/>
            <w:vAlign w:val="center"/>
          </w:tcPr>
          <w:p w14:paraId="4FD7D081" w14:textId="77777777" w:rsidR="001C3BBC" w:rsidRPr="00AF08EB" w:rsidRDefault="001C3BBC" w:rsidP="00AF08EB">
            <w:pPr>
              <w:spacing w:after="0" w:line="240" w:lineRule="auto"/>
              <w:rPr>
                <w:sz w:val="18"/>
                <w:szCs w:val="16"/>
              </w:rPr>
            </w:pPr>
            <w:r w:rsidRPr="00AF08EB">
              <w:rPr>
                <w:sz w:val="18"/>
                <w:szCs w:val="16"/>
              </w:rPr>
              <w:t>Grupo de Gestión Documental</w:t>
            </w:r>
          </w:p>
        </w:tc>
      </w:tr>
      <w:tr w:rsidR="001C3BBC" w:rsidRPr="00AF08EB" w14:paraId="3B10E538" w14:textId="77777777" w:rsidTr="001C3BBC">
        <w:trPr>
          <w:trHeight w:val="79"/>
        </w:trPr>
        <w:tc>
          <w:tcPr>
            <w:tcW w:w="5000" w:type="pct"/>
            <w:shd w:val="clear" w:color="auto" w:fill="auto"/>
            <w:noWrap/>
            <w:vAlign w:val="center"/>
          </w:tcPr>
          <w:p w14:paraId="71C8AFE5" w14:textId="77777777" w:rsidR="001C3BBC" w:rsidRPr="00AF08EB" w:rsidRDefault="001C3BBC" w:rsidP="00AF08EB">
            <w:pPr>
              <w:spacing w:after="0" w:line="240" w:lineRule="auto"/>
              <w:rPr>
                <w:sz w:val="18"/>
                <w:szCs w:val="16"/>
              </w:rPr>
            </w:pPr>
            <w:r w:rsidRPr="00AF08EB">
              <w:rPr>
                <w:sz w:val="18"/>
                <w:szCs w:val="16"/>
              </w:rPr>
              <w:t>Grupo de Sistemas</w:t>
            </w:r>
          </w:p>
        </w:tc>
      </w:tr>
      <w:tr w:rsidR="001C3BBC" w:rsidRPr="00AF08EB" w14:paraId="4C1DBDB6" w14:textId="77777777" w:rsidTr="001C3BBC">
        <w:trPr>
          <w:trHeight w:val="64"/>
        </w:trPr>
        <w:tc>
          <w:tcPr>
            <w:tcW w:w="5000" w:type="pct"/>
            <w:shd w:val="clear" w:color="auto" w:fill="auto"/>
            <w:noWrap/>
            <w:vAlign w:val="center"/>
          </w:tcPr>
          <w:p w14:paraId="12366718" w14:textId="77777777" w:rsidR="001C3BBC" w:rsidRPr="00AF08EB" w:rsidRDefault="001C3BBC" w:rsidP="00AF08EB">
            <w:pPr>
              <w:spacing w:after="0" w:line="240" w:lineRule="auto"/>
              <w:rPr>
                <w:sz w:val="18"/>
                <w:szCs w:val="16"/>
              </w:rPr>
            </w:pPr>
            <w:r w:rsidRPr="00AF08EB">
              <w:rPr>
                <w:sz w:val="18"/>
                <w:szCs w:val="16"/>
              </w:rPr>
              <w:t>Grupo Talento Humano</w:t>
            </w:r>
          </w:p>
        </w:tc>
      </w:tr>
      <w:tr w:rsidR="001C3BBC" w:rsidRPr="00AF08EB" w14:paraId="2BA5499F" w14:textId="77777777" w:rsidTr="001C3BBC">
        <w:trPr>
          <w:trHeight w:val="64"/>
        </w:trPr>
        <w:tc>
          <w:tcPr>
            <w:tcW w:w="5000" w:type="pct"/>
            <w:shd w:val="clear" w:color="auto" w:fill="auto"/>
            <w:noWrap/>
            <w:vAlign w:val="center"/>
          </w:tcPr>
          <w:p w14:paraId="2C03DF96" w14:textId="77777777" w:rsidR="001C3BBC" w:rsidRPr="00AF08EB" w:rsidRDefault="001C3BBC" w:rsidP="00AF08EB">
            <w:pPr>
              <w:spacing w:after="0" w:line="240" w:lineRule="auto"/>
              <w:rPr>
                <w:sz w:val="18"/>
                <w:szCs w:val="16"/>
              </w:rPr>
            </w:pPr>
            <w:r w:rsidRPr="00AF08EB">
              <w:rPr>
                <w:sz w:val="18"/>
                <w:szCs w:val="16"/>
              </w:rPr>
              <w:t>Grupo de Servicios Administrativos</w:t>
            </w:r>
          </w:p>
        </w:tc>
      </w:tr>
      <w:tr w:rsidR="001C3BBC" w:rsidRPr="00AF08EB" w14:paraId="29352D9F" w14:textId="77777777" w:rsidTr="001C3BBC">
        <w:trPr>
          <w:trHeight w:val="188"/>
        </w:trPr>
        <w:tc>
          <w:tcPr>
            <w:tcW w:w="5000" w:type="pct"/>
            <w:shd w:val="clear" w:color="auto" w:fill="auto"/>
            <w:noWrap/>
            <w:vAlign w:val="center"/>
          </w:tcPr>
          <w:p w14:paraId="7F062137" w14:textId="77777777" w:rsidR="001C3BBC" w:rsidRPr="00AF08EB" w:rsidRDefault="001C3BBC" w:rsidP="00AF08EB">
            <w:pPr>
              <w:spacing w:after="0" w:line="240" w:lineRule="auto"/>
              <w:rPr>
                <w:sz w:val="18"/>
                <w:szCs w:val="16"/>
              </w:rPr>
            </w:pPr>
            <w:r w:rsidRPr="00AF08EB">
              <w:rPr>
                <w:sz w:val="18"/>
                <w:szCs w:val="16"/>
              </w:rPr>
              <w:t>Subdirección Administrativa y Financiera de Ambiente</w:t>
            </w:r>
          </w:p>
        </w:tc>
      </w:tr>
    </w:tbl>
    <w:p w14:paraId="7824034D" w14:textId="77777777" w:rsidR="005D1699" w:rsidRDefault="005D1699" w:rsidP="001C699B">
      <w:pPr>
        <w:spacing w:after="0" w:line="240" w:lineRule="auto"/>
      </w:pPr>
    </w:p>
    <w:p w14:paraId="189F994F" w14:textId="77777777" w:rsidR="001C3BBC" w:rsidRPr="001C3BBC" w:rsidRDefault="001C3BBC" w:rsidP="001C3BBC">
      <w:pPr>
        <w:spacing w:after="0" w:line="240" w:lineRule="auto"/>
        <w:ind w:left="360"/>
        <w:rPr>
          <w:b/>
        </w:rPr>
      </w:pPr>
    </w:p>
    <w:p w14:paraId="3DC93AC0" w14:textId="77777777" w:rsidR="001C3BBC" w:rsidRPr="001C3BBC" w:rsidRDefault="001C3BBC" w:rsidP="001C3BBC">
      <w:pPr>
        <w:spacing w:after="0" w:line="240" w:lineRule="auto"/>
        <w:ind w:left="360"/>
        <w:rPr>
          <w:b/>
        </w:rPr>
      </w:pPr>
    </w:p>
    <w:p w14:paraId="6BDFA36D" w14:textId="77777777" w:rsidR="001C3BBC" w:rsidRPr="001C3BBC" w:rsidRDefault="001C3BBC" w:rsidP="001C3BBC">
      <w:pPr>
        <w:spacing w:after="0" w:line="240" w:lineRule="auto"/>
        <w:ind w:left="360"/>
        <w:rPr>
          <w:b/>
        </w:rPr>
      </w:pPr>
    </w:p>
    <w:p w14:paraId="7D8D77F7" w14:textId="77777777" w:rsidR="001C3BBC" w:rsidRPr="001C3BBC" w:rsidRDefault="001C3BBC" w:rsidP="001C3BBC">
      <w:pPr>
        <w:spacing w:after="0" w:line="240" w:lineRule="auto"/>
        <w:ind w:left="360"/>
        <w:rPr>
          <w:b/>
        </w:rPr>
      </w:pPr>
    </w:p>
    <w:p w14:paraId="37404A2C" w14:textId="77777777" w:rsidR="001C3BBC" w:rsidRPr="001C3BBC" w:rsidRDefault="001C3BBC" w:rsidP="001C3BBC">
      <w:pPr>
        <w:spacing w:after="0" w:line="240" w:lineRule="auto"/>
        <w:ind w:left="360"/>
        <w:rPr>
          <w:b/>
        </w:rPr>
      </w:pPr>
    </w:p>
    <w:p w14:paraId="386A552C" w14:textId="77777777" w:rsidR="001C3BBC" w:rsidRPr="001C3BBC" w:rsidRDefault="001C3BBC" w:rsidP="001C3BBC">
      <w:pPr>
        <w:spacing w:after="0" w:line="240" w:lineRule="auto"/>
        <w:ind w:left="360"/>
        <w:rPr>
          <w:b/>
        </w:rPr>
      </w:pPr>
    </w:p>
    <w:p w14:paraId="625254FF" w14:textId="77777777" w:rsidR="001C3BBC" w:rsidRPr="001C3BBC" w:rsidRDefault="001C3BBC" w:rsidP="001C3BBC">
      <w:pPr>
        <w:spacing w:after="0" w:line="240" w:lineRule="auto"/>
        <w:ind w:left="360"/>
        <w:rPr>
          <w:b/>
        </w:rPr>
      </w:pPr>
    </w:p>
    <w:p w14:paraId="0B939694" w14:textId="77777777" w:rsidR="001C3BBC" w:rsidRPr="001C3BBC" w:rsidRDefault="001C3BBC" w:rsidP="001C3BBC">
      <w:pPr>
        <w:spacing w:after="0" w:line="240" w:lineRule="auto"/>
        <w:ind w:left="360"/>
        <w:rPr>
          <w:b/>
        </w:rPr>
      </w:pPr>
    </w:p>
    <w:p w14:paraId="38045A5F" w14:textId="77777777" w:rsidR="001C3BBC" w:rsidRPr="001C3BBC" w:rsidRDefault="001C3BBC" w:rsidP="001C3BBC">
      <w:pPr>
        <w:spacing w:after="0" w:line="240" w:lineRule="auto"/>
        <w:ind w:left="360"/>
        <w:rPr>
          <w:b/>
        </w:rPr>
      </w:pPr>
    </w:p>
    <w:p w14:paraId="1A0BC79B" w14:textId="77777777" w:rsidR="001C3BBC" w:rsidRPr="001C3BBC" w:rsidRDefault="001C3BBC" w:rsidP="001C3BBC">
      <w:pPr>
        <w:spacing w:after="0" w:line="240" w:lineRule="auto"/>
        <w:ind w:left="360"/>
        <w:rPr>
          <w:b/>
        </w:rPr>
      </w:pPr>
    </w:p>
    <w:p w14:paraId="50F537A9" w14:textId="77777777" w:rsidR="001C3BBC" w:rsidRPr="001C3BBC" w:rsidRDefault="001C3BBC" w:rsidP="001C3BBC">
      <w:pPr>
        <w:spacing w:after="0" w:line="240" w:lineRule="auto"/>
        <w:ind w:left="360"/>
        <w:rPr>
          <w:b/>
        </w:rPr>
      </w:pPr>
    </w:p>
    <w:p w14:paraId="6A652AA1" w14:textId="77777777" w:rsidR="001C3BBC" w:rsidRPr="001C3BBC" w:rsidRDefault="001C3BBC" w:rsidP="001C3BBC">
      <w:pPr>
        <w:spacing w:after="0" w:line="240" w:lineRule="auto"/>
        <w:ind w:left="360"/>
        <w:rPr>
          <w:b/>
        </w:rPr>
      </w:pPr>
    </w:p>
    <w:p w14:paraId="46215355" w14:textId="77777777" w:rsidR="001C3BBC" w:rsidRPr="001C3BBC" w:rsidRDefault="001C3BBC" w:rsidP="001C3BBC">
      <w:pPr>
        <w:spacing w:after="0" w:line="240" w:lineRule="auto"/>
        <w:ind w:left="360"/>
        <w:rPr>
          <w:b/>
        </w:rPr>
      </w:pPr>
    </w:p>
    <w:p w14:paraId="0786AC7D" w14:textId="77777777" w:rsidR="001C3BBC" w:rsidRPr="001C3BBC" w:rsidRDefault="001C3BBC" w:rsidP="001C3BBC">
      <w:pPr>
        <w:spacing w:after="0" w:line="240" w:lineRule="auto"/>
        <w:ind w:left="360"/>
        <w:rPr>
          <w:b/>
        </w:rPr>
      </w:pPr>
    </w:p>
    <w:p w14:paraId="5493EB42" w14:textId="77777777" w:rsidR="001C3BBC" w:rsidRPr="001C3BBC" w:rsidRDefault="001C3BBC" w:rsidP="001C3BBC">
      <w:pPr>
        <w:spacing w:after="0" w:line="240" w:lineRule="auto"/>
        <w:ind w:left="360"/>
        <w:rPr>
          <w:b/>
        </w:rPr>
      </w:pPr>
    </w:p>
    <w:p w14:paraId="49B5377D" w14:textId="77777777" w:rsidR="001C3BBC" w:rsidRPr="001C3BBC" w:rsidRDefault="001C3BBC" w:rsidP="001C3BBC">
      <w:pPr>
        <w:spacing w:after="0" w:line="240" w:lineRule="auto"/>
        <w:ind w:left="360"/>
        <w:rPr>
          <w:b/>
        </w:rPr>
      </w:pPr>
    </w:p>
    <w:p w14:paraId="481EA18F" w14:textId="77777777" w:rsidR="001C3BBC" w:rsidRPr="001C3BBC" w:rsidRDefault="001C3BBC" w:rsidP="001C3BBC">
      <w:pPr>
        <w:spacing w:after="0" w:line="240" w:lineRule="auto"/>
        <w:ind w:left="360"/>
        <w:rPr>
          <w:b/>
        </w:rPr>
      </w:pPr>
    </w:p>
    <w:p w14:paraId="5A28BB0C" w14:textId="77777777" w:rsidR="001C3BBC" w:rsidRPr="001C3BBC" w:rsidRDefault="001C3BBC" w:rsidP="001C3BBC">
      <w:pPr>
        <w:spacing w:after="0" w:line="240" w:lineRule="auto"/>
        <w:ind w:left="360"/>
        <w:rPr>
          <w:b/>
        </w:rPr>
      </w:pPr>
    </w:p>
    <w:p w14:paraId="679C9BDD" w14:textId="77777777" w:rsidR="001C3BBC" w:rsidRPr="001C3BBC" w:rsidRDefault="001C3BBC" w:rsidP="001C3BBC">
      <w:pPr>
        <w:spacing w:after="0" w:line="240" w:lineRule="auto"/>
        <w:ind w:left="360"/>
        <w:rPr>
          <w:b/>
        </w:rPr>
      </w:pPr>
    </w:p>
    <w:p w14:paraId="7E146BB0" w14:textId="77777777" w:rsidR="001C3BBC" w:rsidRPr="001C3BBC" w:rsidRDefault="001C3BBC" w:rsidP="001C3BBC">
      <w:pPr>
        <w:spacing w:after="0" w:line="240" w:lineRule="auto"/>
        <w:ind w:left="360"/>
        <w:rPr>
          <w:b/>
        </w:rPr>
      </w:pPr>
    </w:p>
    <w:p w14:paraId="7074292F" w14:textId="77777777" w:rsidR="001C3BBC" w:rsidRPr="001C3BBC" w:rsidRDefault="001C3BBC" w:rsidP="001C3BBC">
      <w:pPr>
        <w:spacing w:after="0" w:line="240" w:lineRule="auto"/>
        <w:ind w:left="360"/>
        <w:rPr>
          <w:b/>
        </w:rPr>
      </w:pPr>
    </w:p>
    <w:p w14:paraId="335CDFCB" w14:textId="77777777" w:rsidR="001C3BBC" w:rsidRPr="001C3BBC" w:rsidRDefault="001C3BBC" w:rsidP="001C3BBC">
      <w:pPr>
        <w:spacing w:after="0" w:line="240" w:lineRule="auto"/>
        <w:ind w:left="360"/>
        <w:rPr>
          <w:b/>
        </w:rPr>
      </w:pPr>
    </w:p>
    <w:p w14:paraId="0D0241FF" w14:textId="77777777" w:rsidR="001C3BBC" w:rsidRPr="001C3BBC" w:rsidRDefault="001C3BBC" w:rsidP="001C3BBC">
      <w:pPr>
        <w:spacing w:after="0" w:line="240" w:lineRule="auto"/>
        <w:rPr>
          <w:b/>
        </w:rPr>
      </w:pPr>
    </w:p>
    <w:p w14:paraId="2AAA7F8C" w14:textId="77777777" w:rsidR="001C3BBC" w:rsidRDefault="001C3BBC" w:rsidP="001C3BBC">
      <w:pPr>
        <w:pStyle w:val="Prrafodelista"/>
        <w:spacing w:after="0" w:line="240" w:lineRule="auto"/>
        <w:ind w:left="0"/>
        <w:rPr>
          <w:b/>
        </w:rPr>
      </w:pPr>
    </w:p>
    <w:p w14:paraId="69EBE244" w14:textId="77777777" w:rsidR="00215DD4" w:rsidRDefault="00215DD4" w:rsidP="001C3BBC">
      <w:pPr>
        <w:pStyle w:val="Prrafodelista"/>
        <w:spacing w:after="0" w:line="240" w:lineRule="auto"/>
        <w:ind w:left="0"/>
        <w:rPr>
          <w:b/>
        </w:rPr>
      </w:pPr>
    </w:p>
    <w:p w14:paraId="195444B0" w14:textId="77777777" w:rsidR="00215DD4" w:rsidRDefault="00215DD4" w:rsidP="001C3BBC">
      <w:pPr>
        <w:pStyle w:val="Prrafodelista"/>
        <w:spacing w:after="0" w:line="240" w:lineRule="auto"/>
        <w:ind w:left="0"/>
        <w:rPr>
          <w:b/>
        </w:rPr>
      </w:pPr>
    </w:p>
    <w:p w14:paraId="50DBE2B0" w14:textId="77777777" w:rsidR="00215DD4" w:rsidRDefault="00215DD4" w:rsidP="001C3BBC">
      <w:pPr>
        <w:pStyle w:val="Prrafodelista"/>
        <w:spacing w:after="0" w:line="240" w:lineRule="auto"/>
        <w:ind w:left="0"/>
        <w:rPr>
          <w:b/>
        </w:rPr>
      </w:pPr>
    </w:p>
    <w:p w14:paraId="1E94501B" w14:textId="77777777" w:rsidR="00215DD4" w:rsidRDefault="00215DD4" w:rsidP="001C3BBC">
      <w:pPr>
        <w:pStyle w:val="Prrafodelista"/>
        <w:spacing w:after="0" w:line="240" w:lineRule="auto"/>
        <w:ind w:left="0"/>
        <w:rPr>
          <w:b/>
        </w:rPr>
      </w:pPr>
    </w:p>
    <w:p w14:paraId="3AD1F14D" w14:textId="77777777" w:rsidR="00215DD4" w:rsidRDefault="00215DD4" w:rsidP="001C3BBC">
      <w:pPr>
        <w:pStyle w:val="Prrafodelista"/>
        <w:spacing w:after="0" w:line="240" w:lineRule="auto"/>
        <w:ind w:left="0"/>
        <w:rPr>
          <w:b/>
        </w:rPr>
      </w:pPr>
    </w:p>
    <w:p w14:paraId="2322FA7B" w14:textId="77777777" w:rsidR="00215DD4" w:rsidRDefault="00215DD4" w:rsidP="001C3BBC">
      <w:pPr>
        <w:pStyle w:val="Prrafodelista"/>
        <w:spacing w:after="0" w:line="240" w:lineRule="auto"/>
        <w:ind w:left="0"/>
        <w:rPr>
          <w:b/>
        </w:rPr>
      </w:pPr>
    </w:p>
    <w:p w14:paraId="0FEFFC8E" w14:textId="77777777" w:rsidR="005D1699" w:rsidRDefault="005D1699" w:rsidP="00D93B94">
      <w:pPr>
        <w:pStyle w:val="Ttulo1"/>
        <w:numPr>
          <w:ilvl w:val="0"/>
          <w:numId w:val="1"/>
        </w:numPr>
      </w:pPr>
      <w:bookmarkStart w:id="9" w:name="_Toc513124067"/>
      <w:r>
        <w:t>DETERMINACIÓN DE LOS EXPEDIENTES A EVALUAR</w:t>
      </w:r>
      <w:bookmarkEnd w:id="9"/>
      <w:r>
        <w:t xml:space="preserve"> </w:t>
      </w:r>
    </w:p>
    <w:p w14:paraId="04B88C16" w14:textId="77777777" w:rsidR="005D1699" w:rsidRDefault="005D1699" w:rsidP="001C699B">
      <w:pPr>
        <w:spacing w:after="0" w:line="240" w:lineRule="auto"/>
      </w:pPr>
    </w:p>
    <w:p w14:paraId="36E2D9D2" w14:textId="77777777" w:rsidR="005D1699" w:rsidRDefault="005D1699" w:rsidP="005D1699">
      <w:pPr>
        <w:spacing w:after="0" w:line="240" w:lineRule="auto"/>
      </w:pPr>
      <w:r>
        <w:t>Con la intención de realizar una muestra fuera de intereses personales</w:t>
      </w:r>
      <w:r w:rsidR="006922EB">
        <w:t>,</w:t>
      </w:r>
      <w:r>
        <w:t xml:space="preserve"> garantizando la transparencia de la me</w:t>
      </w:r>
      <w:r w:rsidR="00FA34F7">
        <w:t>todología con la cual se deben</w:t>
      </w:r>
      <w:r>
        <w:t xml:space="preserve"> </w:t>
      </w:r>
      <w:r w:rsidR="00FA34F7">
        <w:t>elegir los expedientes que sean</w:t>
      </w:r>
      <w:r>
        <w:t xml:space="preserve"> objeto de la presente evaluación, la UCGA decide implementar </w:t>
      </w:r>
      <w:r w:rsidRPr="005D1699">
        <w:rPr>
          <w:b/>
          <w:bCs/>
        </w:rPr>
        <w:t xml:space="preserve">La función </w:t>
      </w:r>
      <w:r>
        <w:rPr>
          <w:b/>
          <w:bCs/>
        </w:rPr>
        <w:t>“</w:t>
      </w:r>
      <w:r w:rsidRPr="005D1699">
        <w:rPr>
          <w:b/>
          <w:bCs/>
        </w:rPr>
        <w:t>ALEATORIO.ENTRE en Excel</w:t>
      </w:r>
      <w:r>
        <w:rPr>
          <w:b/>
          <w:bCs/>
        </w:rPr>
        <w:t xml:space="preserve">”, </w:t>
      </w:r>
      <w:r w:rsidRPr="005D1699">
        <w:rPr>
          <w:bCs/>
        </w:rPr>
        <w:t>la cual</w:t>
      </w:r>
      <w:r w:rsidRPr="005D1699">
        <w:t> devuelve un nú</w:t>
      </w:r>
      <w:r w:rsidR="00FA34F7">
        <w:t>mero aleatorio que se encuentra</w:t>
      </w:r>
      <w:r w:rsidRPr="005D1699">
        <w:t xml:space="preserve"> entre </w:t>
      </w:r>
      <w:r>
        <w:t>un</w:t>
      </w:r>
      <w:r w:rsidRPr="005D1699">
        <w:t xml:space="preserve"> límite inferior</w:t>
      </w:r>
      <w:r>
        <w:t xml:space="preserve"> el cual siempre será uno (1)</w:t>
      </w:r>
      <w:r w:rsidRPr="005D1699">
        <w:t xml:space="preserve"> y </w:t>
      </w:r>
      <w:r>
        <w:t>un límite superior que corresponde al total de expedi</w:t>
      </w:r>
      <w:r w:rsidR="004C4BA9">
        <w:t>entes gestionados por cada área</w:t>
      </w:r>
      <w:r>
        <w:t>, proporcionando un numero entero elegido completamente al alzar.</w:t>
      </w:r>
      <w:r w:rsidR="00006258">
        <w:t xml:space="preserve"> </w:t>
      </w:r>
      <w:r w:rsidR="00006258" w:rsidRPr="00006258">
        <w:rPr>
          <w:b/>
        </w:rPr>
        <w:t xml:space="preserve">(NOTA: para inmovilizar la función se deberá </w:t>
      </w:r>
      <w:r w:rsidR="00006258">
        <w:rPr>
          <w:b/>
        </w:rPr>
        <w:t>antes</w:t>
      </w:r>
      <w:r w:rsidR="00006258" w:rsidRPr="00006258">
        <w:rPr>
          <w:b/>
        </w:rPr>
        <w:t xml:space="preserve"> </w:t>
      </w:r>
      <w:r w:rsidR="00006258">
        <w:rPr>
          <w:b/>
        </w:rPr>
        <w:t>de confirmar la formula,</w:t>
      </w:r>
      <w:r w:rsidR="00006258" w:rsidRPr="00006258">
        <w:rPr>
          <w:b/>
        </w:rPr>
        <w:t xml:space="preserve"> digitar F9 sobre la celda, de esta forma se evita que se calcule nuevamente el valor con cada </w:t>
      </w:r>
      <w:r w:rsidR="00006258">
        <w:rPr>
          <w:b/>
        </w:rPr>
        <w:t>cálculo de la hoja</w:t>
      </w:r>
      <w:r w:rsidR="00006258" w:rsidRPr="00006258">
        <w:rPr>
          <w:b/>
        </w:rPr>
        <w:t>)</w:t>
      </w:r>
    </w:p>
    <w:p w14:paraId="37CB1F1D" w14:textId="77777777" w:rsidR="005D1699" w:rsidRDefault="006922EB" w:rsidP="005D1699">
      <w:pPr>
        <w:spacing w:after="0" w:line="240" w:lineRule="auto"/>
      </w:pPr>
      <w:r>
        <w:rPr>
          <w:noProof/>
          <w:lang w:eastAsia="es-CO"/>
        </w:rPr>
        <w:lastRenderedPageBreak/>
        <w:drawing>
          <wp:anchor distT="0" distB="0" distL="114300" distR="114300" simplePos="0" relativeHeight="251671040" behindDoc="0" locked="0" layoutInCell="1" allowOverlap="1" wp14:anchorId="25ADCA46" wp14:editId="1735A2B8">
            <wp:simplePos x="0" y="0"/>
            <wp:positionH relativeFrom="column">
              <wp:posOffset>653415</wp:posOffset>
            </wp:positionH>
            <wp:positionV relativeFrom="paragraph">
              <wp:posOffset>72390</wp:posOffset>
            </wp:positionV>
            <wp:extent cx="4137660" cy="1682115"/>
            <wp:effectExtent l="0" t="0" r="0" b="0"/>
            <wp:wrapTopAndBottom/>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125" t="39268" r="58064" b="23478"/>
                    <a:stretch>
                      <a:fillRect/>
                    </a:stretch>
                  </pic:blipFill>
                  <pic:spPr bwMode="auto">
                    <a:xfrm>
                      <a:off x="0" y="0"/>
                      <a:ext cx="4137660" cy="1682115"/>
                    </a:xfrm>
                    <a:prstGeom prst="rect">
                      <a:avLst/>
                    </a:prstGeom>
                    <a:noFill/>
                    <a:ln w="9525">
                      <a:noFill/>
                      <a:miter lim="800000"/>
                      <a:headEnd/>
                      <a:tailEnd/>
                    </a:ln>
                  </pic:spPr>
                </pic:pic>
              </a:graphicData>
            </a:graphic>
            <wp14:sizeRelV relativeFrom="margin">
              <wp14:pctHeight>0</wp14:pctHeight>
            </wp14:sizeRelV>
          </wp:anchor>
        </w:drawing>
      </w:r>
    </w:p>
    <w:p w14:paraId="06755C80" w14:textId="77777777" w:rsidR="005D1699" w:rsidRDefault="00390114" w:rsidP="00D93B94">
      <w:pPr>
        <w:pStyle w:val="Ttulo1"/>
        <w:numPr>
          <w:ilvl w:val="0"/>
          <w:numId w:val="1"/>
        </w:numPr>
      </w:pPr>
      <w:bookmarkStart w:id="10" w:name="_Toc513124068"/>
      <w:r>
        <w:t>FRECUENCIA DE LA MEDICIÓN</w:t>
      </w:r>
      <w:bookmarkEnd w:id="10"/>
      <w:r>
        <w:t xml:space="preserve"> </w:t>
      </w:r>
    </w:p>
    <w:p w14:paraId="5F6A607B" w14:textId="77777777" w:rsidR="005D1699" w:rsidRDefault="005D1699" w:rsidP="005D1699">
      <w:pPr>
        <w:spacing w:after="0" w:line="240" w:lineRule="auto"/>
      </w:pPr>
    </w:p>
    <w:p w14:paraId="0F04418D" w14:textId="77777777" w:rsidR="00424D9E" w:rsidRPr="00424D9E" w:rsidRDefault="00424D9E" w:rsidP="001C699B">
      <w:pPr>
        <w:spacing w:after="0" w:line="240" w:lineRule="auto"/>
      </w:pPr>
      <w:r w:rsidRPr="00424D9E">
        <w:t>Basado en lo expresado en la ley 1755 de 2015 en su artículo 14 donde en el cual se indica lo siguiente</w:t>
      </w:r>
      <w:r>
        <w:t>:</w:t>
      </w:r>
      <w:r w:rsidRPr="00424D9E">
        <w:t xml:space="preserve"> </w:t>
      </w:r>
    </w:p>
    <w:p w14:paraId="31538328" w14:textId="77777777" w:rsidR="00424D9E" w:rsidRDefault="00424D9E" w:rsidP="001C699B">
      <w:pPr>
        <w:spacing w:after="0" w:line="240" w:lineRule="auto"/>
        <w:rPr>
          <w:b/>
        </w:rPr>
      </w:pPr>
    </w:p>
    <w:p w14:paraId="6BDB7390" w14:textId="77777777" w:rsidR="00424D9E" w:rsidRPr="00107BE8" w:rsidRDefault="00424D9E" w:rsidP="001C699B">
      <w:pPr>
        <w:spacing w:after="0" w:line="240" w:lineRule="auto"/>
        <w:rPr>
          <w:i/>
          <w:u w:val="single"/>
        </w:rPr>
      </w:pPr>
      <w:r w:rsidRPr="00107BE8">
        <w:rPr>
          <w:b/>
          <w:i/>
          <w:u w:val="single"/>
        </w:rPr>
        <w:t>(…) Artículo 14. Términos para resolver las distintas modalidades de peticiones.</w:t>
      </w:r>
      <w:r w:rsidRPr="00107BE8">
        <w:rPr>
          <w:i/>
          <w:u w:val="single"/>
        </w:rPr>
        <w:t xml:space="preserve"> Salvo norma legal especial y so pena de sanción disciplinaria, toda petición deberá resolverse dentro de los quince (15) días siguientes a su recepción. Estará sometida a término especial la resolución de las siguientes peticiones: </w:t>
      </w:r>
    </w:p>
    <w:p w14:paraId="5CED59F1" w14:textId="77777777" w:rsidR="00424D9E" w:rsidRPr="00107BE8" w:rsidRDefault="00424D9E" w:rsidP="001C699B">
      <w:pPr>
        <w:spacing w:after="0" w:line="240" w:lineRule="auto"/>
        <w:rPr>
          <w:i/>
          <w:u w:val="single"/>
        </w:rPr>
      </w:pPr>
    </w:p>
    <w:p w14:paraId="18A04B7E" w14:textId="77777777" w:rsidR="00424D9E" w:rsidRPr="00107BE8" w:rsidRDefault="00424D9E" w:rsidP="001C699B">
      <w:pPr>
        <w:spacing w:after="0" w:line="240" w:lineRule="auto"/>
        <w:rPr>
          <w:i/>
          <w:u w:val="single"/>
        </w:rPr>
      </w:pPr>
      <w:r w:rsidRPr="00107BE8">
        <w:rPr>
          <w:i/>
          <w:u w:val="single"/>
        </w:rPr>
        <w:t xml:space="preserve">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 </w:t>
      </w:r>
    </w:p>
    <w:p w14:paraId="587CEB8D" w14:textId="77777777" w:rsidR="00424D9E" w:rsidRPr="00107BE8" w:rsidRDefault="00424D9E" w:rsidP="001C699B">
      <w:pPr>
        <w:spacing w:after="0" w:line="240" w:lineRule="auto"/>
        <w:rPr>
          <w:i/>
          <w:u w:val="single"/>
        </w:rPr>
      </w:pPr>
      <w:r w:rsidRPr="00107BE8">
        <w:rPr>
          <w:i/>
          <w:u w:val="single"/>
        </w:rPr>
        <w:t>2. Las peticiones mediante las cuales se eleva una consulta a las autoridades en relación con las materias a su cargo deberán resolverse dentro de los treinta (30) días siguientes a su recepción</w:t>
      </w:r>
      <w:r w:rsidR="00107BE8" w:rsidRPr="00107BE8">
        <w:rPr>
          <w:i/>
          <w:u w:val="single"/>
        </w:rPr>
        <w:t xml:space="preserve"> </w:t>
      </w:r>
      <w:r w:rsidR="00107BE8" w:rsidRPr="00107BE8">
        <w:rPr>
          <w:b/>
          <w:i/>
          <w:u w:val="single"/>
        </w:rPr>
        <w:t>(…)</w:t>
      </w:r>
      <w:r w:rsidRPr="00107BE8">
        <w:rPr>
          <w:b/>
          <w:i/>
          <w:u w:val="single"/>
        </w:rPr>
        <w:t xml:space="preserve">. </w:t>
      </w:r>
    </w:p>
    <w:p w14:paraId="4B6564B3" w14:textId="77777777" w:rsidR="00424D9E" w:rsidRDefault="00424D9E" w:rsidP="001C699B">
      <w:pPr>
        <w:spacing w:after="0" w:line="240" w:lineRule="auto"/>
      </w:pPr>
    </w:p>
    <w:p w14:paraId="0BD51720" w14:textId="77777777" w:rsidR="005D1699" w:rsidRDefault="00C44CC4" w:rsidP="001C699B">
      <w:pPr>
        <w:spacing w:after="0" w:line="240" w:lineRule="auto"/>
      </w:pPr>
      <w:r>
        <w:t>Partiendo de lo anterior la UCGA definió</w:t>
      </w:r>
      <w:r w:rsidR="00107BE8">
        <w:t xml:space="preserve"> como necesario realizar la presente evaluación </w:t>
      </w:r>
      <w:r w:rsidR="00FA34F7">
        <w:t xml:space="preserve">con frecuencia </w:t>
      </w:r>
      <w:r w:rsidR="006922EB">
        <w:t>trimestral</w:t>
      </w:r>
      <w:r w:rsidR="00107BE8">
        <w:t xml:space="preserve">, garantizando de esta manera que las PQRSD evaluadas, hubiesen contado con el tiempo </w:t>
      </w:r>
      <w:r w:rsidR="00251789">
        <w:t xml:space="preserve">de respuesta </w:t>
      </w:r>
      <w:r w:rsidR="00107BE8">
        <w:t>establecido p</w:t>
      </w:r>
      <w:r>
        <w:t>or la normatividad ya mencionado</w:t>
      </w:r>
      <w:r w:rsidR="00107BE8">
        <w:t xml:space="preserve"> y </w:t>
      </w:r>
      <w:r>
        <w:t>la presente evacuación</w:t>
      </w:r>
      <w:r w:rsidR="00107BE8">
        <w:t xml:space="preserve"> </w:t>
      </w:r>
      <w:r>
        <w:t>sea</w:t>
      </w:r>
      <w:r w:rsidR="00107BE8">
        <w:t xml:space="preserve"> efectiv</w:t>
      </w:r>
      <w:r>
        <w:t xml:space="preserve">a, en lo referente al </w:t>
      </w:r>
      <w:r w:rsidR="00251789">
        <w:t>criterio</w:t>
      </w:r>
      <w:r w:rsidR="00107BE8">
        <w:t xml:space="preserve"> de oportunidad</w:t>
      </w:r>
      <w:r w:rsidR="00251789">
        <w:t xml:space="preserve"> en el res</w:t>
      </w:r>
      <w:r>
        <w:t>pondido.</w:t>
      </w:r>
    </w:p>
    <w:p w14:paraId="08E4CFEA" w14:textId="77777777" w:rsidR="00C44CC4" w:rsidRDefault="00C44CC4" w:rsidP="001C699B">
      <w:pPr>
        <w:spacing w:after="0" w:line="240" w:lineRule="auto"/>
      </w:pPr>
    </w:p>
    <w:p w14:paraId="4D08FAB4" w14:textId="77777777" w:rsidR="005D1699" w:rsidRDefault="00390114" w:rsidP="001C699B">
      <w:pPr>
        <w:spacing w:after="0" w:line="240" w:lineRule="auto"/>
        <w:rPr>
          <w:b/>
        </w:rPr>
      </w:pPr>
      <w:r>
        <w:rPr>
          <w:b/>
        </w:rPr>
        <w:t>NOTA: Dado los casos esporádicos en los cuales al momento de realizar la evaluación el expediente se encuentre dentro de los tiempos establecidos para dar su respuesta</w:t>
      </w:r>
      <w:r w:rsidR="00C44CC4">
        <w:rPr>
          <w:b/>
        </w:rPr>
        <w:t>, su calificación será invalida</w:t>
      </w:r>
      <w:r>
        <w:rPr>
          <w:b/>
        </w:rPr>
        <w:t xml:space="preserve"> y se deberá dejar el respectivo soporte en el informe correspondiente. </w:t>
      </w:r>
    </w:p>
    <w:p w14:paraId="6C86BC28" w14:textId="77777777" w:rsidR="00390114" w:rsidRDefault="00390114" w:rsidP="001C699B">
      <w:pPr>
        <w:spacing w:after="0" w:line="240" w:lineRule="auto"/>
        <w:rPr>
          <w:b/>
        </w:rPr>
      </w:pPr>
    </w:p>
    <w:p w14:paraId="07ED3289" w14:textId="77777777" w:rsidR="00875279" w:rsidRDefault="00C44CC4" w:rsidP="00D93B94">
      <w:pPr>
        <w:pStyle w:val="Ttulo1"/>
        <w:numPr>
          <w:ilvl w:val="0"/>
          <w:numId w:val="1"/>
        </w:numPr>
      </w:pPr>
      <w:bookmarkStart w:id="11" w:name="_Toc513124069"/>
      <w:r>
        <w:t>PRESENTACIÓN DE RESULTADOS</w:t>
      </w:r>
      <w:bookmarkEnd w:id="11"/>
    </w:p>
    <w:p w14:paraId="31B869BE" w14:textId="77777777" w:rsidR="00390114" w:rsidRPr="00390114" w:rsidRDefault="00390114" w:rsidP="00390114">
      <w:pPr>
        <w:spacing w:after="0" w:line="240" w:lineRule="auto"/>
        <w:rPr>
          <w:b/>
        </w:rPr>
      </w:pPr>
    </w:p>
    <w:p w14:paraId="0ABD6BCD" w14:textId="77777777" w:rsidR="00C44CC4" w:rsidRDefault="00C44CC4" w:rsidP="0070494B">
      <w:pPr>
        <w:spacing w:after="0" w:line="240" w:lineRule="auto"/>
      </w:pPr>
      <w:r>
        <w:t xml:space="preserve">La Unidad Coordinadora presentará en un informe ejecutivo los resultados de la presente evaluación, </w:t>
      </w:r>
      <w:r w:rsidR="00BA5EB6">
        <w:t>mediante memorando</w:t>
      </w:r>
      <w:r>
        <w:t xml:space="preserve"> con necesidad de respuesta,</w:t>
      </w:r>
      <w:r w:rsidR="00BA5EB6">
        <w:t xml:space="preserve"> dirigido a los </w:t>
      </w:r>
      <w:r>
        <w:t>Directivos jerárquicos, como se estipulo en el numeral 5 de la presente guía</w:t>
      </w:r>
      <w:r w:rsidR="00815395">
        <w:t>,</w:t>
      </w:r>
      <w:r w:rsidR="00815395" w:rsidRPr="00815395">
        <w:t xml:space="preserve"> </w:t>
      </w:r>
      <w:r w:rsidR="00815395">
        <w:t>para su conocimiento y fines pertinentes si así se amerita</w:t>
      </w:r>
      <w:r>
        <w:t>.</w:t>
      </w:r>
    </w:p>
    <w:p w14:paraId="1FDD5FC8" w14:textId="77777777" w:rsidR="00C44CC4" w:rsidRDefault="00C44CC4" w:rsidP="0070494B">
      <w:pPr>
        <w:spacing w:after="0" w:line="240" w:lineRule="auto"/>
      </w:pPr>
    </w:p>
    <w:p w14:paraId="0AB03A00" w14:textId="77777777" w:rsidR="002C58E0" w:rsidRPr="00875279" w:rsidRDefault="00C44CC4" w:rsidP="0070494B">
      <w:pPr>
        <w:spacing w:after="0" w:line="240" w:lineRule="auto"/>
      </w:pPr>
      <w:r>
        <w:lastRenderedPageBreak/>
        <w:t xml:space="preserve">Este documento será enviado </w:t>
      </w:r>
      <w:r w:rsidR="000B5072">
        <w:t xml:space="preserve">entre </w:t>
      </w:r>
      <w:r>
        <w:t xml:space="preserve">la </w:t>
      </w:r>
      <w:r w:rsidR="000B5072">
        <w:t>tercer</w:t>
      </w:r>
      <w:r w:rsidR="00815395">
        <w:t>a</w:t>
      </w:r>
      <w:r>
        <w:t xml:space="preserve"> </w:t>
      </w:r>
      <w:r w:rsidR="000B5072">
        <w:t xml:space="preserve">y última </w:t>
      </w:r>
      <w:r>
        <w:t>semana del mes inmediatamente siguiente</w:t>
      </w:r>
      <w:r w:rsidR="00815395">
        <w:t xml:space="preserve"> al cierre del periodo evaluar, de tal forma que serán presentados 4 informes en la vigencia los meses de </w:t>
      </w:r>
      <w:r>
        <w:t>mayo, agosto, noviembre</w:t>
      </w:r>
      <w:r w:rsidR="00815395">
        <w:t xml:space="preserve"> y febrero.</w:t>
      </w:r>
      <w:r w:rsidR="00BA5EB6">
        <w:t xml:space="preserve"> </w:t>
      </w:r>
    </w:p>
    <w:sectPr w:rsidR="002C58E0" w:rsidRPr="00875279" w:rsidSect="00932119">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06A5" w14:textId="77777777" w:rsidR="00307BBC" w:rsidRDefault="00307BBC" w:rsidP="00BE6813">
      <w:pPr>
        <w:spacing w:after="0" w:line="240" w:lineRule="auto"/>
      </w:pPr>
      <w:r>
        <w:separator/>
      </w:r>
    </w:p>
  </w:endnote>
  <w:endnote w:type="continuationSeparator" w:id="0">
    <w:p w14:paraId="47D4C61C" w14:textId="77777777" w:rsidR="00307BBC" w:rsidRDefault="00307BBC" w:rsidP="00BE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C6D6" w14:textId="77777777" w:rsidR="005040EF" w:rsidRDefault="005040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7EDF" w14:textId="77777777" w:rsidR="00567CCA" w:rsidRDefault="00567CCA" w:rsidP="00567CCA">
    <w:pPr>
      <w:pStyle w:val="Piedepgina"/>
      <w:jc w:val="right"/>
    </w:pPr>
    <w:r>
      <w:rPr>
        <w:lang w:val="es-ES"/>
      </w:rPr>
      <w:t xml:space="preserve">Página </w:t>
    </w:r>
    <w:r w:rsidR="003A6E54">
      <w:rPr>
        <w:b/>
        <w:bCs/>
      </w:rPr>
      <w:fldChar w:fldCharType="begin"/>
    </w:r>
    <w:r>
      <w:rPr>
        <w:b/>
        <w:bCs/>
      </w:rPr>
      <w:instrText>PAGE  \* Arabic  \* MERGEFORMAT</w:instrText>
    </w:r>
    <w:r w:rsidR="003A6E54">
      <w:rPr>
        <w:b/>
        <w:bCs/>
      </w:rPr>
      <w:fldChar w:fldCharType="separate"/>
    </w:r>
    <w:r w:rsidR="000E07E4" w:rsidRPr="000E07E4">
      <w:rPr>
        <w:b/>
        <w:bCs/>
        <w:noProof/>
        <w:lang w:val="es-ES"/>
      </w:rPr>
      <w:t>8</w:t>
    </w:r>
    <w:r w:rsidR="003A6E54">
      <w:rPr>
        <w:b/>
        <w:bCs/>
      </w:rPr>
      <w:fldChar w:fldCharType="end"/>
    </w:r>
    <w:r>
      <w:rPr>
        <w:lang w:val="es-ES"/>
      </w:rPr>
      <w:t xml:space="preserve"> de </w:t>
    </w:r>
    <w:fldSimple w:instr="NUMPAGES  \* Arabic  \* MERGEFORMAT">
      <w:r w:rsidR="000E07E4" w:rsidRPr="000E07E4">
        <w:rPr>
          <w:b/>
          <w:bCs/>
          <w:noProof/>
          <w:lang w:val="es-ES"/>
        </w:rPr>
        <w:t>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298A" w14:textId="77777777" w:rsidR="005040EF" w:rsidRDefault="005040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B0F8" w14:textId="77777777" w:rsidR="00307BBC" w:rsidRDefault="00307BBC" w:rsidP="00BE6813">
      <w:pPr>
        <w:spacing w:after="0" w:line="240" w:lineRule="auto"/>
      </w:pPr>
      <w:r>
        <w:separator/>
      </w:r>
    </w:p>
  </w:footnote>
  <w:footnote w:type="continuationSeparator" w:id="0">
    <w:p w14:paraId="005A341B" w14:textId="77777777" w:rsidR="00307BBC" w:rsidRDefault="00307BBC" w:rsidP="00BE6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C76C" w14:textId="77777777" w:rsidR="005040EF" w:rsidRDefault="005040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828" w:type="dxa"/>
      <w:tblLook w:val="04A0" w:firstRow="1" w:lastRow="0" w:firstColumn="1" w:lastColumn="0" w:noHBand="0" w:noVBand="1"/>
    </w:tblPr>
    <w:tblGrid>
      <w:gridCol w:w="2405"/>
      <w:gridCol w:w="3969"/>
      <w:gridCol w:w="2454"/>
    </w:tblGrid>
    <w:tr w:rsidR="00BE6813" w14:paraId="1D21205E" w14:textId="77777777" w:rsidTr="00140374">
      <w:trPr>
        <w:trHeight w:val="558"/>
      </w:trPr>
      <w:tc>
        <w:tcPr>
          <w:tcW w:w="8828" w:type="dxa"/>
          <w:gridSpan w:val="3"/>
          <w:vAlign w:val="center"/>
        </w:tcPr>
        <w:p w14:paraId="06A25846" w14:textId="77777777" w:rsidR="00BE6813" w:rsidRPr="00BE6813" w:rsidRDefault="009C09F6" w:rsidP="000C47E4">
          <w:pPr>
            <w:pStyle w:val="Encabezado"/>
            <w:jc w:val="center"/>
            <w:rPr>
              <w:b/>
            </w:rPr>
          </w:pPr>
          <w:proofErr w:type="gramStart"/>
          <w:r w:rsidRPr="00FA34F7">
            <w:rPr>
              <w:b/>
              <w:color w:val="000000" w:themeColor="text1"/>
              <w:sz w:val="18"/>
            </w:rPr>
            <w:t xml:space="preserve">GUÍA  </w:t>
          </w:r>
          <w:r w:rsidR="00E1379E" w:rsidRPr="00FA34F7">
            <w:rPr>
              <w:b/>
              <w:color w:val="000000" w:themeColor="text1"/>
              <w:sz w:val="18"/>
            </w:rPr>
            <w:t>PARA</w:t>
          </w:r>
          <w:proofErr w:type="gramEnd"/>
          <w:r w:rsidR="00E1379E" w:rsidRPr="00FA34F7">
            <w:rPr>
              <w:b/>
              <w:color w:val="000000" w:themeColor="text1"/>
              <w:sz w:val="18"/>
            </w:rPr>
            <w:t xml:space="preserve"> </w:t>
          </w:r>
          <w:r w:rsidR="00E1379E" w:rsidRPr="00E1379E">
            <w:rPr>
              <w:b/>
              <w:sz w:val="18"/>
            </w:rPr>
            <w:t>LA MEDICIÓN EN CALIDAD</w:t>
          </w:r>
          <w:r w:rsidR="00E1379E">
            <w:rPr>
              <w:b/>
              <w:sz w:val="18"/>
            </w:rPr>
            <w:t xml:space="preserve"> DE LAS RESPUESTAS </w:t>
          </w:r>
          <w:r w:rsidR="000C47E4">
            <w:rPr>
              <w:b/>
              <w:sz w:val="18"/>
            </w:rPr>
            <w:t>A</w:t>
          </w:r>
          <w:r w:rsidR="00E1379E">
            <w:rPr>
              <w:b/>
              <w:sz w:val="18"/>
            </w:rPr>
            <w:t xml:space="preserve"> LAS PQRSD</w:t>
          </w:r>
        </w:p>
      </w:tc>
    </w:tr>
    <w:tr w:rsidR="00BE6813" w14:paraId="1D3C240B" w14:textId="77777777" w:rsidTr="00720593">
      <w:trPr>
        <w:trHeight w:val="738"/>
      </w:trPr>
      <w:tc>
        <w:tcPr>
          <w:tcW w:w="2405" w:type="dxa"/>
          <w:vAlign w:val="center"/>
        </w:tcPr>
        <w:p w14:paraId="1AE36CB3" w14:textId="77777777" w:rsidR="00BE6813" w:rsidRPr="00BE6813" w:rsidRDefault="00BE6813" w:rsidP="00BE6813">
          <w:pPr>
            <w:pStyle w:val="Encabezado"/>
            <w:jc w:val="center"/>
          </w:pPr>
          <w:r w:rsidRPr="00BE6813">
            <w:rPr>
              <w:sz w:val="18"/>
              <w:szCs w:val="18"/>
            </w:rPr>
            <w:t>MINISTERIO DE AMBIENTE Y DESARROLLO SOSTENIBLE</w:t>
          </w:r>
        </w:p>
      </w:tc>
      <w:tc>
        <w:tcPr>
          <w:tcW w:w="3969" w:type="dxa"/>
          <w:vAlign w:val="center"/>
        </w:tcPr>
        <w:p w14:paraId="21CDCB7F" w14:textId="77777777" w:rsidR="00BE6813" w:rsidRPr="00BE6813" w:rsidRDefault="00BE6813" w:rsidP="00140374">
          <w:pPr>
            <w:pStyle w:val="Encabezado"/>
            <w:jc w:val="center"/>
          </w:pPr>
          <w:r w:rsidRPr="00BE6813">
            <w:rPr>
              <w:sz w:val="20"/>
              <w:szCs w:val="20"/>
            </w:rPr>
            <w:t xml:space="preserve">Proceso: Servicio al Ciudadano </w:t>
          </w:r>
        </w:p>
      </w:tc>
      <w:tc>
        <w:tcPr>
          <w:tcW w:w="2454" w:type="dxa"/>
          <w:vAlign w:val="center"/>
        </w:tcPr>
        <w:p w14:paraId="6F049103" w14:textId="77777777" w:rsidR="00BE6813" w:rsidRDefault="00BE6813" w:rsidP="00720593">
          <w:pPr>
            <w:pStyle w:val="Encabezado"/>
          </w:pPr>
          <w:r w:rsidRPr="00BE6813">
            <w:rPr>
              <w:noProof/>
              <w:lang w:eastAsia="es-CO"/>
            </w:rPr>
            <w:drawing>
              <wp:inline distT="0" distB="0" distL="0" distR="0" wp14:anchorId="025EE963" wp14:editId="0E2C1A10">
                <wp:extent cx="1141095" cy="321310"/>
                <wp:effectExtent l="0" t="0" r="1905"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321310"/>
                        </a:xfrm>
                        <a:prstGeom prst="rect">
                          <a:avLst/>
                        </a:prstGeom>
                        <a:noFill/>
                        <a:ln>
                          <a:noFill/>
                        </a:ln>
                      </pic:spPr>
                    </pic:pic>
                  </a:graphicData>
                </a:graphic>
              </wp:inline>
            </w:drawing>
          </w:r>
        </w:p>
      </w:tc>
    </w:tr>
    <w:tr w:rsidR="00BE6813" w14:paraId="34FF3995" w14:textId="77777777" w:rsidTr="00140374">
      <w:tc>
        <w:tcPr>
          <w:tcW w:w="2405" w:type="dxa"/>
        </w:tcPr>
        <w:p w14:paraId="273F6887" w14:textId="77777777" w:rsidR="00BE6813" w:rsidRPr="00017F15" w:rsidRDefault="009C09F6" w:rsidP="00BE6813">
          <w:pPr>
            <w:pStyle w:val="Encabezado"/>
            <w:jc w:val="center"/>
            <w:rPr>
              <w:color w:val="FF0000"/>
              <w:sz w:val="16"/>
              <w:szCs w:val="16"/>
            </w:rPr>
          </w:pPr>
          <w:r w:rsidRPr="00017F15">
            <w:rPr>
              <w:sz w:val="16"/>
              <w:szCs w:val="16"/>
            </w:rPr>
            <w:t xml:space="preserve">Versión: </w:t>
          </w:r>
          <w:r w:rsidRPr="00017F15">
            <w:rPr>
              <w:color w:val="000000" w:themeColor="text1"/>
              <w:sz w:val="16"/>
              <w:szCs w:val="16"/>
            </w:rPr>
            <w:t>2</w:t>
          </w:r>
        </w:p>
      </w:tc>
      <w:tc>
        <w:tcPr>
          <w:tcW w:w="3969" w:type="dxa"/>
        </w:tcPr>
        <w:p w14:paraId="4699D52A" w14:textId="77777777" w:rsidR="00BE6813" w:rsidRPr="00017F15" w:rsidRDefault="00FA34F7" w:rsidP="00FA34F7">
          <w:pPr>
            <w:pStyle w:val="Encabezado"/>
            <w:jc w:val="center"/>
            <w:rPr>
              <w:sz w:val="16"/>
              <w:szCs w:val="16"/>
            </w:rPr>
          </w:pPr>
          <w:r w:rsidRPr="00017F15">
            <w:rPr>
              <w:rFonts w:eastAsia="Calibri" w:cs="Calibri"/>
              <w:color w:val="000000"/>
              <w:sz w:val="16"/>
              <w:szCs w:val="16"/>
            </w:rPr>
            <w:t>Vigencia: 09/05/2018</w:t>
          </w:r>
        </w:p>
      </w:tc>
      <w:tc>
        <w:tcPr>
          <w:tcW w:w="2454" w:type="dxa"/>
          <w:vAlign w:val="center"/>
        </w:tcPr>
        <w:p w14:paraId="16938919" w14:textId="77777777" w:rsidR="00BE6813" w:rsidRPr="00017F15" w:rsidRDefault="00FA34F7" w:rsidP="00BE6813">
          <w:pPr>
            <w:pStyle w:val="Encabezado"/>
            <w:jc w:val="center"/>
            <w:rPr>
              <w:sz w:val="16"/>
              <w:szCs w:val="16"/>
            </w:rPr>
          </w:pPr>
          <w:r w:rsidRPr="00017F15">
            <w:rPr>
              <w:rFonts w:cs="Arial"/>
              <w:bCs/>
              <w:spacing w:val="-6"/>
              <w:sz w:val="16"/>
              <w:szCs w:val="16"/>
            </w:rPr>
            <w:t>Código: G-A-ATC-01</w:t>
          </w:r>
        </w:p>
      </w:tc>
    </w:tr>
  </w:tbl>
  <w:p w14:paraId="3E50D721" w14:textId="77777777" w:rsidR="00BE6813" w:rsidRDefault="00BE6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86C4" w14:textId="77777777" w:rsidR="005040EF" w:rsidRDefault="005040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45C"/>
    <w:multiLevelType w:val="hybridMultilevel"/>
    <w:tmpl w:val="A42CB4E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2A2BC1"/>
    <w:multiLevelType w:val="hybridMultilevel"/>
    <w:tmpl w:val="AFC81774"/>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 w15:restartNumberingAfterBreak="0">
    <w:nsid w:val="207A1FC5"/>
    <w:multiLevelType w:val="multilevel"/>
    <w:tmpl w:val="FD3C74D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093658D"/>
    <w:multiLevelType w:val="multilevel"/>
    <w:tmpl w:val="29C84E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5EC7F56"/>
    <w:multiLevelType w:val="multilevel"/>
    <w:tmpl w:val="FD3C74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9B662F7"/>
    <w:multiLevelType w:val="hybridMultilevel"/>
    <w:tmpl w:val="E73A22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9CF14FE"/>
    <w:multiLevelType w:val="hybridMultilevel"/>
    <w:tmpl w:val="20C6A8C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10C4956"/>
    <w:multiLevelType w:val="hybridMultilevel"/>
    <w:tmpl w:val="7958C4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5CC1DD6"/>
    <w:multiLevelType w:val="hybridMultilevel"/>
    <w:tmpl w:val="984C38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D37274"/>
    <w:multiLevelType w:val="hybridMultilevel"/>
    <w:tmpl w:val="56DA65D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FE27E02"/>
    <w:multiLevelType w:val="hybridMultilevel"/>
    <w:tmpl w:val="262854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089618F"/>
    <w:multiLevelType w:val="hybridMultilevel"/>
    <w:tmpl w:val="DB4455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4540BD2"/>
    <w:multiLevelType w:val="multilevel"/>
    <w:tmpl w:val="54965F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6"/>
  </w:num>
  <w:num w:numId="3">
    <w:abstractNumId w:val="7"/>
  </w:num>
  <w:num w:numId="4">
    <w:abstractNumId w:val="3"/>
  </w:num>
  <w:num w:numId="5">
    <w:abstractNumId w:val="0"/>
  </w:num>
  <w:num w:numId="6">
    <w:abstractNumId w:val="9"/>
  </w:num>
  <w:num w:numId="7">
    <w:abstractNumId w:val="10"/>
  </w:num>
  <w:num w:numId="8">
    <w:abstractNumId w:val="11"/>
  </w:num>
  <w:num w:numId="9">
    <w:abstractNumId w:val="12"/>
  </w:num>
  <w:num w:numId="10">
    <w:abstractNumId w:val="8"/>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13"/>
    <w:rsid w:val="00006258"/>
    <w:rsid w:val="00017F15"/>
    <w:rsid w:val="000373F0"/>
    <w:rsid w:val="000721B0"/>
    <w:rsid w:val="00085BF2"/>
    <w:rsid w:val="00090107"/>
    <w:rsid w:val="000A27DE"/>
    <w:rsid w:val="000A51B1"/>
    <w:rsid w:val="000B02E1"/>
    <w:rsid w:val="000B5072"/>
    <w:rsid w:val="000C47E4"/>
    <w:rsid w:val="000C5F37"/>
    <w:rsid w:val="000E07E4"/>
    <w:rsid w:val="000F7B1D"/>
    <w:rsid w:val="00107BE8"/>
    <w:rsid w:val="001242D2"/>
    <w:rsid w:val="00124C0C"/>
    <w:rsid w:val="00131738"/>
    <w:rsid w:val="0013221D"/>
    <w:rsid w:val="00135D1E"/>
    <w:rsid w:val="00140374"/>
    <w:rsid w:val="001477B3"/>
    <w:rsid w:val="00163414"/>
    <w:rsid w:val="00167DC4"/>
    <w:rsid w:val="00183F7A"/>
    <w:rsid w:val="001B0C23"/>
    <w:rsid w:val="001B58BE"/>
    <w:rsid w:val="001C3BBC"/>
    <w:rsid w:val="001C699B"/>
    <w:rsid w:val="001E1C99"/>
    <w:rsid w:val="001E2B96"/>
    <w:rsid w:val="001E36E9"/>
    <w:rsid w:val="001E6DD2"/>
    <w:rsid w:val="0021332B"/>
    <w:rsid w:val="00215DD4"/>
    <w:rsid w:val="0021636D"/>
    <w:rsid w:val="00235C10"/>
    <w:rsid w:val="00237ED1"/>
    <w:rsid w:val="00251789"/>
    <w:rsid w:val="00272594"/>
    <w:rsid w:val="00291BBF"/>
    <w:rsid w:val="002A1E47"/>
    <w:rsid w:val="002A6F13"/>
    <w:rsid w:val="002B3BF6"/>
    <w:rsid w:val="002C58E0"/>
    <w:rsid w:val="002F3111"/>
    <w:rsid w:val="00307BBC"/>
    <w:rsid w:val="0031261E"/>
    <w:rsid w:val="00313C48"/>
    <w:rsid w:val="00315F7F"/>
    <w:rsid w:val="003254DD"/>
    <w:rsid w:val="003808F5"/>
    <w:rsid w:val="00390114"/>
    <w:rsid w:val="00391B49"/>
    <w:rsid w:val="003A1206"/>
    <w:rsid w:val="003A6E54"/>
    <w:rsid w:val="003B67BE"/>
    <w:rsid w:val="003C3A2D"/>
    <w:rsid w:val="003C4937"/>
    <w:rsid w:val="003E751C"/>
    <w:rsid w:val="0040543F"/>
    <w:rsid w:val="004161ED"/>
    <w:rsid w:val="00417768"/>
    <w:rsid w:val="00424D9E"/>
    <w:rsid w:val="00441023"/>
    <w:rsid w:val="00444C1D"/>
    <w:rsid w:val="00454EBB"/>
    <w:rsid w:val="00470ABE"/>
    <w:rsid w:val="00474943"/>
    <w:rsid w:val="00484FC9"/>
    <w:rsid w:val="00487849"/>
    <w:rsid w:val="00492A72"/>
    <w:rsid w:val="004B2CDC"/>
    <w:rsid w:val="004C06D3"/>
    <w:rsid w:val="004C4BA9"/>
    <w:rsid w:val="004C6DE8"/>
    <w:rsid w:val="004D36B5"/>
    <w:rsid w:val="004E28B8"/>
    <w:rsid w:val="005040EF"/>
    <w:rsid w:val="0052242E"/>
    <w:rsid w:val="00537357"/>
    <w:rsid w:val="0054184F"/>
    <w:rsid w:val="00546637"/>
    <w:rsid w:val="00547190"/>
    <w:rsid w:val="00553840"/>
    <w:rsid w:val="00561F82"/>
    <w:rsid w:val="0056333F"/>
    <w:rsid w:val="00567CCA"/>
    <w:rsid w:val="00590F9C"/>
    <w:rsid w:val="00593841"/>
    <w:rsid w:val="005A1BBC"/>
    <w:rsid w:val="005D1699"/>
    <w:rsid w:val="005E1F09"/>
    <w:rsid w:val="005F03BA"/>
    <w:rsid w:val="00606A0F"/>
    <w:rsid w:val="0061287A"/>
    <w:rsid w:val="00615888"/>
    <w:rsid w:val="00622F8D"/>
    <w:rsid w:val="00637597"/>
    <w:rsid w:val="006431CB"/>
    <w:rsid w:val="0064353B"/>
    <w:rsid w:val="00655B38"/>
    <w:rsid w:val="006826A0"/>
    <w:rsid w:val="00683B2B"/>
    <w:rsid w:val="006922EB"/>
    <w:rsid w:val="006A0981"/>
    <w:rsid w:val="006D3543"/>
    <w:rsid w:val="006E0AAC"/>
    <w:rsid w:val="006F77A0"/>
    <w:rsid w:val="0070494B"/>
    <w:rsid w:val="00713343"/>
    <w:rsid w:val="00720593"/>
    <w:rsid w:val="007308D5"/>
    <w:rsid w:val="00753004"/>
    <w:rsid w:val="00756246"/>
    <w:rsid w:val="007658AB"/>
    <w:rsid w:val="007A1901"/>
    <w:rsid w:val="007A2564"/>
    <w:rsid w:val="007A6381"/>
    <w:rsid w:val="007D36BF"/>
    <w:rsid w:val="00815395"/>
    <w:rsid w:val="008154C1"/>
    <w:rsid w:val="00815F58"/>
    <w:rsid w:val="008333F7"/>
    <w:rsid w:val="00833B7D"/>
    <w:rsid w:val="00840AC3"/>
    <w:rsid w:val="00863850"/>
    <w:rsid w:val="00865E87"/>
    <w:rsid w:val="00875279"/>
    <w:rsid w:val="0088621E"/>
    <w:rsid w:val="0089213E"/>
    <w:rsid w:val="008A75B7"/>
    <w:rsid w:val="008B343B"/>
    <w:rsid w:val="008B60EE"/>
    <w:rsid w:val="008B7987"/>
    <w:rsid w:val="008D0D32"/>
    <w:rsid w:val="008E21A4"/>
    <w:rsid w:val="008E238A"/>
    <w:rsid w:val="008E2FBB"/>
    <w:rsid w:val="008E5E06"/>
    <w:rsid w:val="008F18C8"/>
    <w:rsid w:val="008F4128"/>
    <w:rsid w:val="0092279D"/>
    <w:rsid w:val="00922A3E"/>
    <w:rsid w:val="00932119"/>
    <w:rsid w:val="009415E0"/>
    <w:rsid w:val="00941E7F"/>
    <w:rsid w:val="0094509B"/>
    <w:rsid w:val="009464BE"/>
    <w:rsid w:val="009471B4"/>
    <w:rsid w:val="00952480"/>
    <w:rsid w:val="009764B6"/>
    <w:rsid w:val="00994E80"/>
    <w:rsid w:val="00996C26"/>
    <w:rsid w:val="009A00AA"/>
    <w:rsid w:val="009A1F8F"/>
    <w:rsid w:val="009A3634"/>
    <w:rsid w:val="009B02AB"/>
    <w:rsid w:val="009B59F5"/>
    <w:rsid w:val="009C09F6"/>
    <w:rsid w:val="009C2284"/>
    <w:rsid w:val="009F0C52"/>
    <w:rsid w:val="00A219A4"/>
    <w:rsid w:val="00A222A4"/>
    <w:rsid w:val="00A33499"/>
    <w:rsid w:val="00A451A9"/>
    <w:rsid w:val="00A55BEC"/>
    <w:rsid w:val="00A561B6"/>
    <w:rsid w:val="00A5624A"/>
    <w:rsid w:val="00A56DAE"/>
    <w:rsid w:val="00A6136B"/>
    <w:rsid w:val="00A8264B"/>
    <w:rsid w:val="00A83287"/>
    <w:rsid w:val="00A94BD4"/>
    <w:rsid w:val="00AB2936"/>
    <w:rsid w:val="00AC79CB"/>
    <w:rsid w:val="00AC7ABA"/>
    <w:rsid w:val="00AF08EB"/>
    <w:rsid w:val="00B015AF"/>
    <w:rsid w:val="00B03E01"/>
    <w:rsid w:val="00B06C6C"/>
    <w:rsid w:val="00B34771"/>
    <w:rsid w:val="00B403F2"/>
    <w:rsid w:val="00B45847"/>
    <w:rsid w:val="00B45AD0"/>
    <w:rsid w:val="00B54AF4"/>
    <w:rsid w:val="00B56C38"/>
    <w:rsid w:val="00B6026B"/>
    <w:rsid w:val="00B64477"/>
    <w:rsid w:val="00B67088"/>
    <w:rsid w:val="00B71D5A"/>
    <w:rsid w:val="00B74237"/>
    <w:rsid w:val="00B864A9"/>
    <w:rsid w:val="00B96E4D"/>
    <w:rsid w:val="00B96EEA"/>
    <w:rsid w:val="00BA1AD8"/>
    <w:rsid w:val="00BA5EB6"/>
    <w:rsid w:val="00BB5AB6"/>
    <w:rsid w:val="00BC43E5"/>
    <w:rsid w:val="00BC6B4A"/>
    <w:rsid w:val="00BD2580"/>
    <w:rsid w:val="00BD6A68"/>
    <w:rsid w:val="00BE6813"/>
    <w:rsid w:val="00BF0B2B"/>
    <w:rsid w:val="00BF3FEE"/>
    <w:rsid w:val="00C44CC4"/>
    <w:rsid w:val="00C63B70"/>
    <w:rsid w:val="00C67696"/>
    <w:rsid w:val="00C80784"/>
    <w:rsid w:val="00C837CB"/>
    <w:rsid w:val="00CA296A"/>
    <w:rsid w:val="00CA46DD"/>
    <w:rsid w:val="00CB32A5"/>
    <w:rsid w:val="00CC0321"/>
    <w:rsid w:val="00CC4471"/>
    <w:rsid w:val="00CD1621"/>
    <w:rsid w:val="00CD1A59"/>
    <w:rsid w:val="00CD63BE"/>
    <w:rsid w:val="00CE59FF"/>
    <w:rsid w:val="00CE6F46"/>
    <w:rsid w:val="00CF16F6"/>
    <w:rsid w:val="00CF6C0E"/>
    <w:rsid w:val="00D05AFB"/>
    <w:rsid w:val="00D06E19"/>
    <w:rsid w:val="00D25451"/>
    <w:rsid w:val="00D42F74"/>
    <w:rsid w:val="00D63844"/>
    <w:rsid w:val="00D74F0E"/>
    <w:rsid w:val="00D8592C"/>
    <w:rsid w:val="00D93B94"/>
    <w:rsid w:val="00DB3119"/>
    <w:rsid w:val="00DD15C9"/>
    <w:rsid w:val="00DD6C66"/>
    <w:rsid w:val="00DE03F1"/>
    <w:rsid w:val="00DE5DAE"/>
    <w:rsid w:val="00E11AA9"/>
    <w:rsid w:val="00E1379E"/>
    <w:rsid w:val="00E245D4"/>
    <w:rsid w:val="00E318D3"/>
    <w:rsid w:val="00E327D9"/>
    <w:rsid w:val="00E338E3"/>
    <w:rsid w:val="00E343CE"/>
    <w:rsid w:val="00E41AF1"/>
    <w:rsid w:val="00E4265F"/>
    <w:rsid w:val="00E76B26"/>
    <w:rsid w:val="00E92FE8"/>
    <w:rsid w:val="00E94E27"/>
    <w:rsid w:val="00EA007E"/>
    <w:rsid w:val="00EA3CEA"/>
    <w:rsid w:val="00EC2D52"/>
    <w:rsid w:val="00EE0792"/>
    <w:rsid w:val="00EE23E3"/>
    <w:rsid w:val="00EE277E"/>
    <w:rsid w:val="00EE6098"/>
    <w:rsid w:val="00F04263"/>
    <w:rsid w:val="00F12F1F"/>
    <w:rsid w:val="00F1420B"/>
    <w:rsid w:val="00F26565"/>
    <w:rsid w:val="00F75B41"/>
    <w:rsid w:val="00F80BBB"/>
    <w:rsid w:val="00F8489C"/>
    <w:rsid w:val="00F864A7"/>
    <w:rsid w:val="00F93AFF"/>
    <w:rsid w:val="00FA0827"/>
    <w:rsid w:val="00FA34F7"/>
    <w:rsid w:val="00FD6F68"/>
    <w:rsid w:val="00FE50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D0557"/>
  <w15:docId w15:val="{62D81625-DF73-4342-9268-D5D44ADF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374"/>
    <w:pPr>
      <w:jc w:val="both"/>
    </w:pPr>
    <w:rPr>
      <w:rFonts w:ascii="Arial Narrow" w:hAnsi="Arial Narrow"/>
    </w:rPr>
  </w:style>
  <w:style w:type="paragraph" w:styleId="Ttulo1">
    <w:name w:val="heading 1"/>
    <w:basedOn w:val="Normal"/>
    <w:next w:val="Normal"/>
    <w:link w:val="Ttulo1Car"/>
    <w:uiPriority w:val="9"/>
    <w:qFormat/>
    <w:rsid w:val="00BE6813"/>
    <w:pPr>
      <w:keepNext/>
      <w:keepLines/>
      <w:spacing w:before="240" w:after="0"/>
      <w:outlineLvl w:val="0"/>
    </w:pPr>
    <w:rPr>
      <w:rFonts w:eastAsiaTheme="majorEastAsia" w:cstheme="majorBidi"/>
      <w:b/>
      <w:sz w:val="24"/>
      <w:szCs w:val="32"/>
    </w:rPr>
  </w:style>
  <w:style w:type="paragraph" w:styleId="Ttulo2">
    <w:name w:val="heading 2"/>
    <w:basedOn w:val="Normal"/>
    <w:next w:val="Normal"/>
    <w:link w:val="Ttulo2Car"/>
    <w:uiPriority w:val="9"/>
    <w:unhideWhenUsed/>
    <w:qFormat/>
    <w:rsid w:val="00BD2580"/>
    <w:pPr>
      <w:keepNext/>
      <w:keepLines/>
      <w:spacing w:before="40" w:after="0"/>
      <w:outlineLvl w:val="1"/>
    </w:pPr>
    <w:rPr>
      <w:rFonts w:eastAsiaTheme="majorEastAsia"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6813"/>
    <w:rPr>
      <w:rFonts w:ascii="Arial Narrow" w:eastAsiaTheme="majorEastAsia" w:hAnsi="Arial Narrow" w:cstheme="majorBidi"/>
      <w:b/>
      <w:sz w:val="24"/>
      <w:szCs w:val="32"/>
    </w:rPr>
  </w:style>
  <w:style w:type="paragraph" w:styleId="Encabezado">
    <w:name w:val="header"/>
    <w:basedOn w:val="Normal"/>
    <w:link w:val="EncabezadoCar"/>
    <w:uiPriority w:val="99"/>
    <w:unhideWhenUsed/>
    <w:rsid w:val="00BE68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6813"/>
  </w:style>
  <w:style w:type="paragraph" w:styleId="Piedepgina">
    <w:name w:val="footer"/>
    <w:basedOn w:val="Normal"/>
    <w:link w:val="PiedepginaCar"/>
    <w:uiPriority w:val="99"/>
    <w:unhideWhenUsed/>
    <w:rsid w:val="00BE68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6813"/>
  </w:style>
  <w:style w:type="table" w:styleId="Tablaconcuadrcula">
    <w:name w:val="Table Grid"/>
    <w:basedOn w:val="Tablanormal"/>
    <w:uiPriority w:val="39"/>
    <w:rsid w:val="00BE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403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0374"/>
    <w:rPr>
      <w:rFonts w:ascii="Arial Narrow" w:hAnsi="Arial Narrow"/>
      <w:sz w:val="20"/>
      <w:szCs w:val="20"/>
    </w:rPr>
  </w:style>
  <w:style w:type="character" w:styleId="Refdenotaalpie">
    <w:name w:val="footnote reference"/>
    <w:basedOn w:val="Fuentedeprrafopredeter"/>
    <w:uiPriority w:val="99"/>
    <w:semiHidden/>
    <w:unhideWhenUsed/>
    <w:rsid w:val="00140374"/>
    <w:rPr>
      <w:vertAlign w:val="superscript"/>
    </w:rPr>
  </w:style>
  <w:style w:type="character" w:customStyle="1" w:styleId="Ttulo2Car">
    <w:name w:val="Título 2 Car"/>
    <w:basedOn w:val="Fuentedeprrafopredeter"/>
    <w:link w:val="Ttulo2"/>
    <w:uiPriority w:val="9"/>
    <w:rsid w:val="00BD2580"/>
    <w:rPr>
      <w:rFonts w:ascii="Arial Narrow" w:eastAsiaTheme="majorEastAsia" w:hAnsi="Arial Narrow" w:cstheme="majorBidi"/>
      <w:b/>
      <w:sz w:val="24"/>
      <w:szCs w:val="26"/>
    </w:rPr>
  </w:style>
  <w:style w:type="paragraph" w:styleId="Prrafodelista">
    <w:name w:val="List Paragraph"/>
    <w:basedOn w:val="Normal"/>
    <w:uiPriority w:val="34"/>
    <w:qFormat/>
    <w:rsid w:val="00BD2580"/>
    <w:pPr>
      <w:ind w:left="720"/>
      <w:contextualSpacing/>
    </w:pPr>
  </w:style>
  <w:style w:type="paragraph" w:customStyle="1" w:styleId="Default">
    <w:name w:val="Default"/>
    <w:rsid w:val="00CA296A"/>
    <w:pPr>
      <w:autoSpaceDE w:val="0"/>
      <w:autoSpaceDN w:val="0"/>
      <w:adjustRightInd w:val="0"/>
      <w:spacing w:after="0" w:line="240" w:lineRule="auto"/>
    </w:pPr>
    <w:rPr>
      <w:rFonts w:ascii="Arial" w:hAnsi="Arial" w:cs="Arial"/>
      <w:color w:val="000000"/>
      <w:sz w:val="24"/>
      <w:szCs w:val="24"/>
    </w:rPr>
  </w:style>
  <w:style w:type="paragraph" w:styleId="Descripcin">
    <w:name w:val="caption"/>
    <w:basedOn w:val="Normal"/>
    <w:next w:val="Normal"/>
    <w:uiPriority w:val="35"/>
    <w:unhideWhenUsed/>
    <w:qFormat/>
    <w:rsid w:val="00315F7F"/>
    <w:pPr>
      <w:spacing w:after="200"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2C58E0"/>
    <w:rPr>
      <w:sz w:val="16"/>
      <w:szCs w:val="16"/>
    </w:rPr>
  </w:style>
  <w:style w:type="paragraph" w:styleId="Textocomentario">
    <w:name w:val="annotation text"/>
    <w:basedOn w:val="Normal"/>
    <w:link w:val="TextocomentarioCar"/>
    <w:uiPriority w:val="99"/>
    <w:semiHidden/>
    <w:unhideWhenUsed/>
    <w:rsid w:val="002C58E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58E0"/>
    <w:rPr>
      <w:rFonts w:ascii="Arial Narrow" w:hAnsi="Arial Narrow"/>
      <w:sz w:val="20"/>
      <w:szCs w:val="20"/>
    </w:rPr>
  </w:style>
  <w:style w:type="paragraph" w:styleId="Asuntodelcomentario">
    <w:name w:val="annotation subject"/>
    <w:basedOn w:val="Textocomentario"/>
    <w:next w:val="Textocomentario"/>
    <w:link w:val="AsuntodelcomentarioCar"/>
    <w:uiPriority w:val="99"/>
    <w:semiHidden/>
    <w:unhideWhenUsed/>
    <w:rsid w:val="002C58E0"/>
    <w:rPr>
      <w:b/>
      <w:bCs/>
    </w:rPr>
  </w:style>
  <w:style w:type="character" w:customStyle="1" w:styleId="AsuntodelcomentarioCar">
    <w:name w:val="Asunto del comentario Car"/>
    <w:basedOn w:val="TextocomentarioCar"/>
    <w:link w:val="Asuntodelcomentario"/>
    <w:uiPriority w:val="99"/>
    <w:semiHidden/>
    <w:rsid w:val="002C58E0"/>
    <w:rPr>
      <w:rFonts w:ascii="Arial Narrow" w:hAnsi="Arial Narrow"/>
      <w:b/>
      <w:bCs/>
      <w:sz w:val="20"/>
      <w:szCs w:val="20"/>
    </w:rPr>
  </w:style>
  <w:style w:type="paragraph" w:styleId="Textodeglobo">
    <w:name w:val="Balloon Text"/>
    <w:basedOn w:val="Normal"/>
    <w:link w:val="TextodegloboCar"/>
    <w:uiPriority w:val="99"/>
    <w:semiHidden/>
    <w:unhideWhenUsed/>
    <w:rsid w:val="002C58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58E0"/>
    <w:rPr>
      <w:rFonts w:ascii="Segoe UI" w:hAnsi="Segoe UI" w:cs="Segoe UI"/>
      <w:sz w:val="18"/>
      <w:szCs w:val="18"/>
    </w:rPr>
  </w:style>
  <w:style w:type="character" w:styleId="Textodelmarcadordeposicin">
    <w:name w:val="Placeholder Text"/>
    <w:basedOn w:val="Fuentedeprrafopredeter"/>
    <w:uiPriority w:val="99"/>
    <w:semiHidden/>
    <w:rsid w:val="009B59F5"/>
    <w:rPr>
      <w:color w:val="808080"/>
    </w:rPr>
  </w:style>
  <w:style w:type="paragraph" w:styleId="TtuloTDC">
    <w:name w:val="TOC Heading"/>
    <w:basedOn w:val="Ttulo1"/>
    <w:next w:val="Normal"/>
    <w:uiPriority w:val="39"/>
    <w:unhideWhenUsed/>
    <w:qFormat/>
    <w:rsid w:val="00D93B94"/>
    <w:pPr>
      <w:jc w:val="left"/>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D93B94"/>
    <w:pPr>
      <w:spacing w:after="100"/>
    </w:pPr>
  </w:style>
  <w:style w:type="character" w:styleId="Hipervnculo">
    <w:name w:val="Hyperlink"/>
    <w:basedOn w:val="Fuentedeprrafopredeter"/>
    <w:uiPriority w:val="99"/>
    <w:unhideWhenUsed/>
    <w:rsid w:val="00D93B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5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A53E0-7AF2-42A9-976C-FF4C2340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2370</Words>
  <Characters>13035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Armando Trujillo Escobar</dc:creator>
  <cp:lastModifiedBy>Nidia Johanna Leal Melo</cp:lastModifiedBy>
  <cp:revision>3</cp:revision>
  <cp:lastPrinted>2022-03-07T16:51:00Z</cp:lastPrinted>
  <dcterms:created xsi:type="dcterms:W3CDTF">2022-03-04T22:04:00Z</dcterms:created>
  <dcterms:modified xsi:type="dcterms:W3CDTF">2022-03-07T16:51:00Z</dcterms:modified>
</cp:coreProperties>
</file>